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E754E" w14:textId="2BB1EDB8" w:rsidR="00D80D33" w:rsidRDefault="00D80D33" w:rsidP="00171938">
      <w:pPr>
        <w:pStyle w:val="NoSpacing"/>
        <w:jc w:val="both"/>
        <w:rPr>
          <w:b/>
          <w:bCs/>
        </w:rPr>
      </w:pPr>
    </w:p>
    <w:p w14:paraId="004D598B" w14:textId="77777777" w:rsidR="0056418B" w:rsidRDefault="00A60E5A" w:rsidP="00132EC9">
      <w:pPr>
        <w:pStyle w:val="NoSpacing"/>
        <w:jc w:val="center"/>
        <w:rPr>
          <w:b/>
          <w:bCs/>
          <w:color w:val="002060"/>
          <w:sz w:val="28"/>
          <w:szCs w:val="28"/>
        </w:rPr>
      </w:pPr>
      <w:r w:rsidRPr="00A60E5A">
        <w:rPr>
          <w:b/>
          <w:bCs/>
          <w:color w:val="002060"/>
          <w:sz w:val="28"/>
          <w:szCs w:val="28"/>
        </w:rPr>
        <w:t>Fit for 55 Package</w:t>
      </w:r>
    </w:p>
    <w:p w14:paraId="358125DA" w14:textId="0A03F0E9" w:rsidR="00A60E5A" w:rsidRDefault="003D0332" w:rsidP="00710E8A">
      <w:pPr>
        <w:pStyle w:val="NoSpacing"/>
        <w:jc w:val="center"/>
        <w:rPr>
          <w:b/>
          <w:bCs/>
          <w:color w:val="002060"/>
          <w:sz w:val="28"/>
          <w:szCs w:val="28"/>
        </w:rPr>
      </w:pPr>
      <w:r>
        <w:rPr>
          <w:b/>
          <w:bCs/>
          <w:color w:val="002060"/>
          <w:sz w:val="28"/>
          <w:szCs w:val="28"/>
        </w:rPr>
        <w:t>Comparison of texts</w:t>
      </w:r>
    </w:p>
    <w:p w14:paraId="628F27A1" w14:textId="77777777" w:rsidR="00710E8A" w:rsidRPr="00710E8A" w:rsidRDefault="00710E8A" w:rsidP="00710E8A">
      <w:pPr>
        <w:pStyle w:val="NoSpacing"/>
        <w:jc w:val="center"/>
        <w:rPr>
          <w:b/>
          <w:bCs/>
          <w:color w:val="002060"/>
          <w:sz w:val="28"/>
          <w:szCs w:val="28"/>
        </w:rPr>
      </w:pPr>
    </w:p>
    <w:p w14:paraId="031CBF44" w14:textId="77777777" w:rsidR="00A60E5A" w:rsidRDefault="00A60E5A" w:rsidP="00171938">
      <w:pPr>
        <w:pStyle w:val="NoSpacing"/>
        <w:jc w:val="both"/>
        <w:rPr>
          <w:b/>
          <w:bCs/>
        </w:rPr>
      </w:pPr>
    </w:p>
    <w:p w14:paraId="542C7865" w14:textId="1C82BD8C" w:rsidR="00D61A1A" w:rsidRPr="00B75617" w:rsidRDefault="00F865EE" w:rsidP="00442ABA">
      <w:pPr>
        <w:pStyle w:val="NoSpacing"/>
        <w:jc w:val="center"/>
        <w:rPr>
          <w:b/>
          <w:bCs/>
          <w:color w:val="002060"/>
          <w:sz w:val="24"/>
          <w:szCs w:val="24"/>
          <w:u w:val="single"/>
        </w:rPr>
      </w:pPr>
      <w:r w:rsidRPr="00B75617">
        <w:rPr>
          <w:b/>
          <w:bCs/>
          <w:color w:val="002060"/>
          <w:sz w:val="24"/>
          <w:szCs w:val="24"/>
          <w:u w:val="single"/>
        </w:rPr>
        <w:t>Renewable Energy Directive II</w:t>
      </w:r>
    </w:p>
    <w:p w14:paraId="6A7E3D4D" w14:textId="19EF195A" w:rsidR="00171938" w:rsidRDefault="00171938" w:rsidP="00171938">
      <w:pPr>
        <w:pStyle w:val="NoSpacing"/>
        <w:jc w:val="both"/>
      </w:pPr>
    </w:p>
    <w:p w14:paraId="04AC55CF" w14:textId="68BD6D56" w:rsidR="00287A0A" w:rsidRPr="00287A0A" w:rsidRDefault="00287A0A" w:rsidP="00287A0A">
      <w:pPr>
        <w:pStyle w:val="NoSpacing"/>
        <w:jc w:val="center"/>
        <w:rPr>
          <w:b/>
          <w:bCs/>
          <w:color w:val="002060"/>
        </w:rPr>
      </w:pPr>
      <w:r w:rsidRPr="00287A0A">
        <w:rPr>
          <w:b/>
          <w:bCs/>
          <w:color w:val="002060"/>
        </w:rPr>
        <w:t>Article 20a – Facilitating system integration of renewable electricity</w:t>
      </w:r>
    </w:p>
    <w:p w14:paraId="490C2C26" w14:textId="77777777" w:rsidR="00287A0A" w:rsidRPr="0072162B" w:rsidRDefault="00287A0A" w:rsidP="00171938">
      <w:pPr>
        <w:pStyle w:val="NoSpacing"/>
        <w:jc w:val="both"/>
      </w:pPr>
    </w:p>
    <w:tbl>
      <w:tblPr>
        <w:tblStyle w:val="TableGrid"/>
        <w:tblW w:w="0" w:type="auto"/>
        <w:jc w:val="center"/>
        <w:tblLook w:val="04A0" w:firstRow="1" w:lastRow="0" w:firstColumn="1" w:lastColumn="0" w:noHBand="0" w:noVBand="1"/>
      </w:tblPr>
      <w:tblGrid>
        <w:gridCol w:w="4045"/>
        <w:gridCol w:w="4230"/>
        <w:gridCol w:w="4230"/>
      </w:tblGrid>
      <w:tr w:rsidR="003D0332" w:rsidRPr="0072162B" w14:paraId="7BB81502" w14:textId="3A7E6513" w:rsidTr="000C2EE1">
        <w:trPr>
          <w:jc w:val="center"/>
        </w:trPr>
        <w:tc>
          <w:tcPr>
            <w:tcW w:w="4045" w:type="dxa"/>
          </w:tcPr>
          <w:p w14:paraId="3B26E9B8" w14:textId="77777777" w:rsidR="003D0332" w:rsidRPr="0072162B" w:rsidRDefault="003D0332" w:rsidP="00CC053C">
            <w:pPr>
              <w:jc w:val="center"/>
              <w:rPr>
                <w:b/>
                <w:color w:val="auto"/>
              </w:rPr>
            </w:pPr>
            <w:bookmarkStart w:id="0" w:name="_Hlk89949968"/>
            <w:r w:rsidRPr="0072162B">
              <w:rPr>
                <w:b/>
                <w:color w:val="auto"/>
              </w:rPr>
              <w:t xml:space="preserve">European Commission </w:t>
            </w:r>
          </w:p>
        </w:tc>
        <w:tc>
          <w:tcPr>
            <w:tcW w:w="4230" w:type="dxa"/>
          </w:tcPr>
          <w:p w14:paraId="5EE1138E" w14:textId="7E829FE1" w:rsidR="003D0332" w:rsidRPr="0072162B" w:rsidRDefault="003D0332" w:rsidP="00CC053C">
            <w:pPr>
              <w:jc w:val="center"/>
              <w:rPr>
                <w:b/>
                <w:color w:val="auto"/>
              </w:rPr>
            </w:pPr>
            <w:r w:rsidRPr="0072162B">
              <w:rPr>
                <w:b/>
                <w:color w:val="auto"/>
              </w:rPr>
              <w:t xml:space="preserve">GEODE </w:t>
            </w:r>
            <w:r>
              <w:rPr>
                <w:b/>
                <w:color w:val="auto"/>
              </w:rPr>
              <w:t>AMENDMENTS</w:t>
            </w:r>
          </w:p>
        </w:tc>
        <w:tc>
          <w:tcPr>
            <w:tcW w:w="4230" w:type="dxa"/>
          </w:tcPr>
          <w:p w14:paraId="1DF854FC" w14:textId="06C4E792" w:rsidR="003D0332" w:rsidRPr="0072162B" w:rsidRDefault="003D0332" w:rsidP="00CC053C">
            <w:pPr>
              <w:jc w:val="center"/>
              <w:rPr>
                <w:b/>
                <w:color w:val="auto"/>
              </w:rPr>
            </w:pPr>
            <w:r>
              <w:rPr>
                <w:b/>
                <w:color w:val="auto"/>
              </w:rPr>
              <w:t>COUNCIL</w:t>
            </w:r>
          </w:p>
        </w:tc>
      </w:tr>
      <w:tr w:rsidR="003D0332" w:rsidRPr="0072162B" w14:paraId="7DB65699" w14:textId="0DD3E65F" w:rsidTr="000C2EE1">
        <w:trPr>
          <w:jc w:val="center"/>
        </w:trPr>
        <w:tc>
          <w:tcPr>
            <w:tcW w:w="4045" w:type="dxa"/>
          </w:tcPr>
          <w:p w14:paraId="2014213D" w14:textId="18C9405A" w:rsidR="003D0332" w:rsidRPr="00E91485" w:rsidRDefault="003D0332" w:rsidP="00E91485">
            <w:pPr>
              <w:spacing w:line="240" w:lineRule="auto"/>
              <w:rPr>
                <w:rFonts w:cs="Arial"/>
                <w:color w:val="auto"/>
              </w:rPr>
            </w:pPr>
            <w:r>
              <w:rPr>
                <w:color w:val="auto"/>
              </w:rPr>
              <w:t xml:space="preserve">(1) </w:t>
            </w:r>
            <w:r w:rsidRPr="00E91485">
              <w:rPr>
                <w:color w:val="auto"/>
              </w:rPr>
              <w:t xml:space="preserve">Member States shall require transmission system operators and distribution system operators in their territory to make available information on the share of renewable electricity and the greenhouse gas emissions content of the electricity supplied in each bidding zone, as accurately as possible and as close to real time as possible but in time intervals of no more than one hour, with forecasting where available. This information shall be made available digitally in a manner that ensures it can be used by electricity market participants, aggregators, </w:t>
            </w:r>
            <w:proofErr w:type="gramStart"/>
            <w:r w:rsidRPr="00E91485">
              <w:rPr>
                <w:color w:val="auto"/>
              </w:rPr>
              <w:t>consumers</w:t>
            </w:r>
            <w:proofErr w:type="gramEnd"/>
            <w:r w:rsidRPr="00E91485">
              <w:rPr>
                <w:color w:val="auto"/>
              </w:rPr>
              <w:t xml:space="preserve"> and end-users, and that it can be read by electronic communication devices such as smart metering systems, electric vehicle recharging points, heating and cooling systems and building energy management systems.</w:t>
            </w:r>
          </w:p>
        </w:tc>
        <w:tc>
          <w:tcPr>
            <w:tcW w:w="4230" w:type="dxa"/>
          </w:tcPr>
          <w:p w14:paraId="5F313475" w14:textId="549AB240" w:rsidR="003D0332" w:rsidRPr="00E91485" w:rsidRDefault="003D0332" w:rsidP="00E91485">
            <w:pPr>
              <w:rPr>
                <w:color w:val="auto"/>
              </w:rPr>
            </w:pPr>
            <w:r>
              <w:rPr>
                <w:color w:val="auto"/>
              </w:rPr>
              <w:t xml:space="preserve">(1) </w:t>
            </w:r>
            <w:r w:rsidRPr="00E91485">
              <w:rPr>
                <w:color w:val="auto"/>
              </w:rPr>
              <w:t>Member States shall require transmission system operators and</w:t>
            </w:r>
            <w:r>
              <w:rPr>
                <w:color w:val="auto"/>
              </w:rPr>
              <w:t xml:space="preserve">, </w:t>
            </w:r>
            <w:r w:rsidRPr="00475AF4">
              <w:rPr>
                <w:b/>
                <w:bCs/>
                <w:color w:val="auto"/>
                <w:u w:val="single"/>
              </w:rPr>
              <w:t>when appropriate</w:t>
            </w:r>
            <w:r>
              <w:rPr>
                <w:color w:val="auto"/>
              </w:rPr>
              <w:t xml:space="preserve">, </w:t>
            </w:r>
            <w:r w:rsidRPr="00E91485">
              <w:rPr>
                <w:color w:val="auto"/>
              </w:rPr>
              <w:t xml:space="preserve">distribution system operators in their territory to make available information on the share of renewable electricity </w:t>
            </w:r>
            <w:r w:rsidRPr="00D80D33">
              <w:rPr>
                <w:b/>
                <w:bCs/>
                <w:strike/>
                <w:color w:val="auto"/>
              </w:rPr>
              <w:t>and the greenhouse gas emissions content of the electricity</w:t>
            </w:r>
            <w:r w:rsidRPr="00E91485">
              <w:rPr>
                <w:color w:val="auto"/>
              </w:rPr>
              <w:t xml:space="preserve"> supplied in each bidding zone, as accurately as possible and </w:t>
            </w:r>
            <w:r w:rsidRPr="00D80D33">
              <w:rPr>
                <w:b/>
                <w:bCs/>
                <w:strike/>
                <w:color w:val="auto"/>
              </w:rPr>
              <w:t>as close to real time as possible but</w:t>
            </w:r>
            <w:r w:rsidRPr="00E91485">
              <w:rPr>
                <w:color w:val="auto"/>
              </w:rPr>
              <w:t xml:space="preserve"> in time intervals of no more than </w:t>
            </w:r>
            <w:r w:rsidRPr="00896403">
              <w:rPr>
                <w:color w:val="auto"/>
              </w:rPr>
              <w:t>one hour</w:t>
            </w:r>
            <w:r w:rsidRPr="00E91485">
              <w:rPr>
                <w:color w:val="auto"/>
              </w:rPr>
              <w:t xml:space="preserve">, with forecasting where available. </w:t>
            </w:r>
            <w:r w:rsidRPr="00475AF4">
              <w:rPr>
                <w:b/>
                <w:bCs/>
                <w:color w:val="auto"/>
                <w:u w:val="single"/>
              </w:rPr>
              <w:t xml:space="preserve">If data for smaller facilities (Type A) according to regulation (EU) 2016/631 are not available, their share of renewable energy can also be estimated. </w:t>
            </w:r>
            <w:r w:rsidRPr="00E91485">
              <w:rPr>
                <w:color w:val="auto"/>
              </w:rPr>
              <w:t xml:space="preserve">This information shall be made available digitally in a manner that ensures it can be used by electricity market participants, aggregators, </w:t>
            </w:r>
            <w:proofErr w:type="gramStart"/>
            <w:r w:rsidRPr="00E91485">
              <w:rPr>
                <w:color w:val="auto"/>
              </w:rPr>
              <w:t>consumers</w:t>
            </w:r>
            <w:proofErr w:type="gramEnd"/>
            <w:r w:rsidRPr="00E91485">
              <w:rPr>
                <w:color w:val="auto"/>
              </w:rPr>
              <w:t xml:space="preserve"> and end-users, and that it can be read by electronic communication devices such as smart metering systems, electric vehicle recharging points, heating and cooling systems and building energy management systems</w:t>
            </w:r>
            <w:r>
              <w:rPr>
                <w:color w:val="auto"/>
              </w:rPr>
              <w:t xml:space="preserve">. </w:t>
            </w:r>
            <w:r w:rsidRPr="00B75617">
              <w:rPr>
                <w:b/>
                <w:bCs/>
                <w:color w:val="auto"/>
                <w:u w:val="single"/>
              </w:rPr>
              <w:t>Member States which already have a net 90% usage of renewable energy shall be exempt from this obligation.</w:t>
            </w:r>
            <w:r>
              <w:rPr>
                <w:color w:val="auto"/>
              </w:rPr>
              <w:t xml:space="preserve"> </w:t>
            </w:r>
          </w:p>
        </w:tc>
        <w:tc>
          <w:tcPr>
            <w:tcW w:w="4230" w:type="dxa"/>
          </w:tcPr>
          <w:p w14:paraId="15397320" w14:textId="2432CC8D" w:rsidR="003D0332" w:rsidRDefault="003D0332" w:rsidP="00E91485">
            <w:pPr>
              <w:rPr>
                <w:color w:val="auto"/>
              </w:rPr>
            </w:pPr>
            <w:r w:rsidRPr="003D0332">
              <w:rPr>
                <w:color w:val="auto"/>
              </w:rPr>
              <w:t xml:space="preserve">(1) </w:t>
            </w:r>
            <w:r w:rsidRPr="003D0332">
              <w:rPr>
                <w:color w:val="auto"/>
              </w:rPr>
              <w:t xml:space="preserve">Member States shall require transmission system operators and, </w:t>
            </w:r>
            <w:r w:rsidRPr="003D0332">
              <w:rPr>
                <w:b/>
                <w:bCs/>
                <w:color w:val="auto"/>
                <w:u w:val="single"/>
              </w:rPr>
              <w:t>when appropriate</w:t>
            </w:r>
            <w:r w:rsidRPr="003D0332">
              <w:rPr>
                <w:color w:val="auto"/>
              </w:rPr>
              <w:t xml:space="preserve">, distribution system operators in their territory to make available information on the share of renewable electricity and the greenhouse gas emissions content of the electricity supplied in each bidding zone, as accurately as possible [...] </w:t>
            </w:r>
            <w:r w:rsidRPr="003D0332">
              <w:rPr>
                <w:b/>
                <w:bCs/>
                <w:color w:val="auto"/>
                <w:u w:val="single"/>
              </w:rPr>
              <w:t>in intervals equal to the market settlement frequency</w:t>
            </w:r>
            <w:r w:rsidRPr="003D0332">
              <w:rPr>
                <w:color w:val="auto"/>
              </w:rPr>
              <w:t xml:space="preserve"> [...] but [...] of no more than one hour, with forecasting where available. This information shall be made available digitally in a manner that ensures it can be used by electricity market participants, aggregators, </w:t>
            </w:r>
            <w:proofErr w:type="gramStart"/>
            <w:r w:rsidRPr="003D0332">
              <w:rPr>
                <w:color w:val="auto"/>
              </w:rPr>
              <w:t>consumers</w:t>
            </w:r>
            <w:proofErr w:type="gramEnd"/>
            <w:r w:rsidRPr="003D0332">
              <w:rPr>
                <w:color w:val="auto"/>
              </w:rPr>
              <w:t xml:space="preserve"> and end-users, and that it can be read by electronic communication devices such as smart metering systems, electric vehicle recharging points, heating and cooling systems and building energy management systems</w:t>
            </w:r>
          </w:p>
        </w:tc>
      </w:tr>
      <w:bookmarkEnd w:id="0"/>
    </w:tbl>
    <w:p w14:paraId="4016A119" w14:textId="5AB736DC" w:rsidR="00F865EE" w:rsidRDefault="00F865EE" w:rsidP="00171938">
      <w:pPr>
        <w:pStyle w:val="NoSpacing"/>
        <w:jc w:val="both"/>
        <w:rPr>
          <w:b/>
          <w:bCs/>
          <w:lang w:val="en-GB"/>
        </w:rPr>
      </w:pPr>
    </w:p>
    <w:p w14:paraId="0CA24DD3" w14:textId="0F70A196" w:rsidR="00F865EE" w:rsidRDefault="00F865EE" w:rsidP="00171938">
      <w:pPr>
        <w:pStyle w:val="NoSpacing"/>
        <w:jc w:val="both"/>
        <w:rPr>
          <w:b/>
          <w:bCs/>
        </w:rPr>
      </w:pPr>
    </w:p>
    <w:p w14:paraId="10FA45C1" w14:textId="47E9C668" w:rsidR="00B75617" w:rsidRDefault="00B75617" w:rsidP="00B75617">
      <w:pPr>
        <w:pStyle w:val="NoSpacing"/>
        <w:jc w:val="center"/>
        <w:rPr>
          <w:b/>
          <w:bCs/>
          <w:color w:val="002060"/>
          <w:lang w:val="en-GB"/>
        </w:rPr>
      </w:pPr>
      <w:r w:rsidRPr="00287A0A">
        <w:rPr>
          <w:b/>
          <w:bCs/>
          <w:color w:val="002060"/>
        </w:rPr>
        <w:lastRenderedPageBreak/>
        <w:t>Article 2</w:t>
      </w:r>
      <w:r>
        <w:rPr>
          <w:b/>
          <w:bCs/>
          <w:color w:val="002060"/>
        </w:rPr>
        <w:t>7</w:t>
      </w:r>
      <w:r w:rsidRPr="00287A0A">
        <w:rPr>
          <w:b/>
          <w:bCs/>
          <w:color w:val="002060"/>
        </w:rPr>
        <w:t xml:space="preserve"> – </w:t>
      </w:r>
      <w:r w:rsidRPr="00B75617">
        <w:rPr>
          <w:b/>
          <w:bCs/>
          <w:color w:val="002060"/>
          <w:lang w:val="en-GB"/>
        </w:rPr>
        <w:t xml:space="preserve">Calculation rules in the transport sector and </w:t>
      </w:r>
    </w:p>
    <w:p w14:paraId="6A71CA9E" w14:textId="42E61D2E" w:rsidR="00F865EE" w:rsidRDefault="00B75617" w:rsidP="00B75617">
      <w:pPr>
        <w:pStyle w:val="NoSpacing"/>
        <w:jc w:val="center"/>
        <w:rPr>
          <w:b/>
          <w:bCs/>
        </w:rPr>
      </w:pPr>
      <w:proofErr w:type="gramStart"/>
      <w:r w:rsidRPr="00B75617">
        <w:rPr>
          <w:b/>
          <w:bCs/>
          <w:color w:val="002060"/>
          <w:lang w:val="en-GB"/>
        </w:rPr>
        <w:t>with regard to</w:t>
      </w:r>
      <w:proofErr w:type="gramEnd"/>
      <w:r w:rsidRPr="00B75617">
        <w:rPr>
          <w:b/>
          <w:bCs/>
          <w:color w:val="002060"/>
          <w:lang w:val="en-GB"/>
        </w:rPr>
        <w:t xml:space="preserve"> renewable fuels of non-biological origin regardless of their end use</w:t>
      </w:r>
    </w:p>
    <w:p w14:paraId="112AC889" w14:textId="777BB553" w:rsidR="00B75617" w:rsidRDefault="00B75617" w:rsidP="00171938">
      <w:pPr>
        <w:pStyle w:val="NoSpacing"/>
        <w:jc w:val="both"/>
        <w:rPr>
          <w:b/>
          <w:bCs/>
        </w:rPr>
      </w:pPr>
    </w:p>
    <w:tbl>
      <w:tblPr>
        <w:tblStyle w:val="TableGrid"/>
        <w:tblW w:w="0" w:type="auto"/>
        <w:jc w:val="center"/>
        <w:tblLook w:val="04A0" w:firstRow="1" w:lastRow="0" w:firstColumn="1" w:lastColumn="0" w:noHBand="0" w:noVBand="1"/>
      </w:tblPr>
      <w:tblGrid>
        <w:gridCol w:w="4045"/>
        <w:gridCol w:w="4230"/>
        <w:gridCol w:w="4230"/>
      </w:tblGrid>
      <w:tr w:rsidR="00610585" w:rsidRPr="0072162B" w14:paraId="1EDA650F" w14:textId="7B7C415F" w:rsidTr="000C341D">
        <w:trPr>
          <w:jc w:val="center"/>
        </w:trPr>
        <w:tc>
          <w:tcPr>
            <w:tcW w:w="4045" w:type="dxa"/>
          </w:tcPr>
          <w:p w14:paraId="5874B45A" w14:textId="77777777" w:rsidR="00610585" w:rsidRPr="0072162B" w:rsidRDefault="00610585" w:rsidP="006E68E5">
            <w:pPr>
              <w:jc w:val="center"/>
              <w:rPr>
                <w:b/>
                <w:color w:val="auto"/>
              </w:rPr>
            </w:pPr>
            <w:r w:rsidRPr="0072162B">
              <w:rPr>
                <w:b/>
                <w:color w:val="auto"/>
              </w:rPr>
              <w:t xml:space="preserve">European Commission </w:t>
            </w:r>
          </w:p>
        </w:tc>
        <w:tc>
          <w:tcPr>
            <w:tcW w:w="4230" w:type="dxa"/>
          </w:tcPr>
          <w:p w14:paraId="477CEE9A" w14:textId="644172D4" w:rsidR="00610585" w:rsidRPr="0072162B" w:rsidRDefault="00610585" w:rsidP="006E68E5">
            <w:pPr>
              <w:jc w:val="center"/>
              <w:rPr>
                <w:b/>
                <w:color w:val="auto"/>
              </w:rPr>
            </w:pPr>
            <w:r w:rsidRPr="0072162B">
              <w:rPr>
                <w:b/>
                <w:color w:val="auto"/>
              </w:rPr>
              <w:t xml:space="preserve">GEODE </w:t>
            </w:r>
            <w:r>
              <w:rPr>
                <w:b/>
                <w:color w:val="auto"/>
              </w:rPr>
              <w:t>AMENDMENTS</w:t>
            </w:r>
          </w:p>
        </w:tc>
        <w:tc>
          <w:tcPr>
            <w:tcW w:w="4230" w:type="dxa"/>
          </w:tcPr>
          <w:p w14:paraId="68E4E673" w14:textId="4F7BAA38" w:rsidR="00610585" w:rsidRPr="0072162B" w:rsidRDefault="00F01499" w:rsidP="006E68E5">
            <w:pPr>
              <w:jc w:val="center"/>
              <w:rPr>
                <w:b/>
                <w:color w:val="auto"/>
              </w:rPr>
            </w:pPr>
            <w:r>
              <w:rPr>
                <w:b/>
                <w:color w:val="auto"/>
              </w:rPr>
              <w:t>COUNCIL</w:t>
            </w:r>
          </w:p>
        </w:tc>
      </w:tr>
      <w:tr w:rsidR="00610585" w:rsidRPr="0072162B" w14:paraId="5513F224" w14:textId="51852089" w:rsidTr="000C341D">
        <w:trPr>
          <w:jc w:val="center"/>
        </w:trPr>
        <w:tc>
          <w:tcPr>
            <w:tcW w:w="4045" w:type="dxa"/>
          </w:tcPr>
          <w:p w14:paraId="3B63C57E" w14:textId="0C9F3A28" w:rsidR="00610585" w:rsidRPr="00533278" w:rsidRDefault="00610585" w:rsidP="00656992">
            <w:pPr>
              <w:spacing w:line="240" w:lineRule="auto"/>
              <w:rPr>
                <w:color w:val="auto"/>
              </w:rPr>
            </w:pPr>
            <w:r>
              <w:rPr>
                <w:color w:val="auto"/>
              </w:rPr>
              <w:t xml:space="preserve">(Title) </w:t>
            </w:r>
            <w:r w:rsidRPr="00656992">
              <w:rPr>
                <w:color w:val="auto"/>
              </w:rPr>
              <w:t xml:space="preserve">Calculation rules in the transport sector and </w:t>
            </w:r>
            <w:proofErr w:type="gramStart"/>
            <w:r w:rsidRPr="00656992">
              <w:rPr>
                <w:color w:val="auto"/>
              </w:rPr>
              <w:t>with regard to</w:t>
            </w:r>
            <w:proofErr w:type="gramEnd"/>
            <w:r w:rsidRPr="00656992">
              <w:rPr>
                <w:color w:val="auto"/>
              </w:rPr>
              <w:t xml:space="preserve"> renewable fuels of non-biological origin regardless of their end use</w:t>
            </w:r>
          </w:p>
        </w:tc>
        <w:tc>
          <w:tcPr>
            <w:tcW w:w="4230" w:type="dxa"/>
          </w:tcPr>
          <w:p w14:paraId="712289F8" w14:textId="0DA2FA71" w:rsidR="00610585" w:rsidRPr="00E91485" w:rsidRDefault="00610585" w:rsidP="00533278">
            <w:pPr>
              <w:spacing w:line="240" w:lineRule="auto"/>
              <w:rPr>
                <w:color w:val="auto"/>
              </w:rPr>
            </w:pPr>
            <w:r>
              <w:rPr>
                <w:color w:val="auto"/>
              </w:rPr>
              <w:t xml:space="preserve">(Title) </w:t>
            </w:r>
            <w:r w:rsidRPr="00656992">
              <w:rPr>
                <w:color w:val="auto"/>
              </w:rPr>
              <w:t xml:space="preserve">Calculation rules in the transport sector and </w:t>
            </w:r>
            <w:proofErr w:type="gramStart"/>
            <w:r w:rsidRPr="00656992">
              <w:rPr>
                <w:color w:val="auto"/>
              </w:rPr>
              <w:t>with regard to</w:t>
            </w:r>
            <w:proofErr w:type="gramEnd"/>
            <w:r w:rsidRPr="00656992">
              <w:rPr>
                <w:color w:val="auto"/>
              </w:rPr>
              <w:t xml:space="preserve"> renewable fuels of non-biological origin </w:t>
            </w:r>
            <w:r w:rsidRPr="00656992">
              <w:rPr>
                <w:b/>
                <w:bCs/>
                <w:strike/>
                <w:color w:val="auto"/>
              </w:rPr>
              <w:t>regardless of their end use</w:t>
            </w:r>
          </w:p>
        </w:tc>
        <w:tc>
          <w:tcPr>
            <w:tcW w:w="4230" w:type="dxa"/>
          </w:tcPr>
          <w:p w14:paraId="7B3E0307" w14:textId="45E969A2" w:rsidR="00610585" w:rsidRDefault="00F01499" w:rsidP="00533278">
            <w:pPr>
              <w:spacing w:line="240" w:lineRule="auto"/>
              <w:rPr>
                <w:color w:val="auto"/>
              </w:rPr>
            </w:pPr>
            <w:r w:rsidRPr="00F01499">
              <w:rPr>
                <w:color w:val="auto"/>
              </w:rPr>
              <w:t xml:space="preserve">Calculation rules in the transport sector and </w:t>
            </w:r>
            <w:proofErr w:type="gramStart"/>
            <w:r w:rsidRPr="00F01499">
              <w:rPr>
                <w:color w:val="auto"/>
              </w:rPr>
              <w:t>with regard to</w:t>
            </w:r>
            <w:proofErr w:type="gramEnd"/>
            <w:r w:rsidRPr="00F01499">
              <w:rPr>
                <w:color w:val="auto"/>
              </w:rPr>
              <w:t xml:space="preserve"> renewable fuels of nonbiological origin regardless of their end use</w:t>
            </w:r>
          </w:p>
        </w:tc>
      </w:tr>
    </w:tbl>
    <w:p w14:paraId="5FE82BF5" w14:textId="6C52C0FF" w:rsidR="00B75617" w:rsidRPr="00656992" w:rsidRDefault="00B75617" w:rsidP="00171938">
      <w:pPr>
        <w:pStyle w:val="NoSpacing"/>
        <w:jc w:val="both"/>
        <w:rPr>
          <w:b/>
          <w:bCs/>
          <w:lang w:val="en-GB"/>
        </w:rPr>
      </w:pPr>
    </w:p>
    <w:p w14:paraId="2FD00FF8" w14:textId="77777777" w:rsidR="00F865EE" w:rsidRDefault="00F865EE" w:rsidP="00171938">
      <w:pPr>
        <w:pStyle w:val="NoSpacing"/>
        <w:jc w:val="both"/>
        <w:rPr>
          <w:b/>
          <w:bCs/>
        </w:rPr>
      </w:pPr>
    </w:p>
    <w:p w14:paraId="68E30B10" w14:textId="2A76EF88" w:rsidR="00171938" w:rsidRPr="001B09AE" w:rsidRDefault="00171938" w:rsidP="00442ABA">
      <w:pPr>
        <w:pStyle w:val="NoSpacing"/>
        <w:jc w:val="center"/>
        <w:rPr>
          <w:b/>
          <w:bCs/>
          <w:color w:val="002060"/>
          <w:sz w:val="24"/>
          <w:szCs w:val="24"/>
          <w:u w:val="single"/>
        </w:rPr>
      </w:pPr>
      <w:r w:rsidRPr="001B09AE">
        <w:rPr>
          <w:b/>
          <w:bCs/>
          <w:color w:val="002060"/>
          <w:sz w:val="24"/>
          <w:szCs w:val="24"/>
          <w:u w:val="single"/>
        </w:rPr>
        <w:t>Energy Efficiency Directive</w:t>
      </w:r>
    </w:p>
    <w:p w14:paraId="2F36244A" w14:textId="618E9564" w:rsidR="00171938" w:rsidRDefault="00171938" w:rsidP="00442ABA">
      <w:pPr>
        <w:pStyle w:val="NoSpacing"/>
        <w:jc w:val="center"/>
      </w:pPr>
    </w:p>
    <w:p w14:paraId="55E25874" w14:textId="77777777" w:rsidR="001B09AE" w:rsidRPr="001B09AE" w:rsidRDefault="001B09AE" w:rsidP="00442ABA">
      <w:pPr>
        <w:jc w:val="center"/>
        <w:rPr>
          <w:rFonts w:asciiTheme="minorHAnsi" w:hAnsiTheme="minorHAnsi" w:cstheme="minorHAnsi"/>
          <w:b/>
          <w:color w:val="002060"/>
          <w:sz w:val="22"/>
          <w:szCs w:val="22"/>
        </w:rPr>
      </w:pPr>
      <w:r w:rsidRPr="001B09AE">
        <w:rPr>
          <w:rFonts w:asciiTheme="minorHAnsi" w:hAnsiTheme="minorHAnsi" w:cstheme="minorHAnsi"/>
          <w:b/>
          <w:color w:val="002060"/>
          <w:sz w:val="22"/>
          <w:szCs w:val="22"/>
        </w:rPr>
        <w:t xml:space="preserve">Article 25 (2) – Energy transformation, </w:t>
      </w:r>
      <w:proofErr w:type="gramStart"/>
      <w:r w:rsidRPr="001B09AE">
        <w:rPr>
          <w:rFonts w:asciiTheme="minorHAnsi" w:hAnsiTheme="minorHAnsi" w:cstheme="minorHAnsi"/>
          <w:b/>
          <w:color w:val="002060"/>
          <w:sz w:val="22"/>
          <w:szCs w:val="22"/>
        </w:rPr>
        <w:t>transmission</w:t>
      </w:r>
      <w:proofErr w:type="gramEnd"/>
      <w:r w:rsidRPr="001B09AE">
        <w:rPr>
          <w:rFonts w:asciiTheme="minorHAnsi" w:hAnsiTheme="minorHAnsi" w:cstheme="minorHAnsi"/>
          <w:b/>
          <w:color w:val="002060"/>
          <w:sz w:val="22"/>
          <w:szCs w:val="22"/>
        </w:rPr>
        <w:t xml:space="preserve"> and distribution</w:t>
      </w:r>
    </w:p>
    <w:p w14:paraId="36061524" w14:textId="77777777" w:rsidR="001B09AE" w:rsidRPr="0072162B" w:rsidRDefault="001B09AE" w:rsidP="00171938">
      <w:pPr>
        <w:pStyle w:val="NoSpacing"/>
        <w:jc w:val="both"/>
      </w:pPr>
    </w:p>
    <w:tbl>
      <w:tblPr>
        <w:tblStyle w:val="TableGrid"/>
        <w:tblW w:w="0" w:type="auto"/>
        <w:jc w:val="center"/>
        <w:tblLook w:val="04A0" w:firstRow="1" w:lastRow="0" w:firstColumn="1" w:lastColumn="0" w:noHBand="0" w:noVBand="1"/>
      </w:tblPr>
      <w:tblGrid>
        <w:gridCol w:w="4135"/>
        <w:gridCol w:w="4084"/>
        <w:gridCol w:w="4084"/>
      </w:tblGrid>
      <w:tr w:rsidR="00FE0AEE" w:rsidRPr="0072162B" w14:paraId="769D28E3" w14:textId="6365654E" w:rsidTr="00357FC1">
        <w:trPr>
          <w:jc w:val="center"/>
        </w:trPr>
        <w:tc>
          <w:tcPr>
            <w:tcW w:w="4135" w:type="dxa"/>
          </w:tcPr>
          <w:p w14:paraId="1BE205E5" w14:textId="77777777" w:rsidR="00FE0AEE" w:rsidRPr="0072162B" w:rsidRDefault="00FE0AEE" w:rsidP="00CC053C">
            <w:pPr>
              <w:jc w:val="center"/>
              <w:rPr>
                <w:b/>
                <w:color w:val="auto"/>
              </w:rPr>
            </w:pPr>
            <w:r w:rsidRPr="0072162B">
              <w:rPr>
                <w:b/>
                <w:color w:val="auto"/>
              </w:rPr>
              <w:t xml:space="preserve">European Commission </w:t>
            </w:r>
          </w:p>
        </w:tc>
        <w:tc>
          <w:tcPr>
            <w:tcW w:w="4084" w:type="dxa"/>
          </w:tcPr>
          <w:p w14:paraId="4908EDF2" w14:textId="2C742928" w:rsidR="00FE0AEE" w:rsidRPr="0072162B" w:rsidRDefault="00FE0AEE" w:rsidP="00CC053C">
            <w:pPr>
              <w:jc w:val="center"/>
              <w:rPr>
                <w:b/>
                <w:color w:val="auto"/>
              </w:rPr>
            </w:pPr>
            <w:r w:rsidRPr="0072162B">
              <w:rPr>
                <w:b/>
                <w:color w:val="auto"/>
              </w:rPr>
              <w:t>GEODE</w:t>
            </w:r>
          </w:p>
        </w:tc>
        <w:tc>
          <w:tcPr>
            <w:tcW w:w="4084" w:type="dxa"/>
          </w:tcPr>
          <w:p w14:paraId="43EC3F5F" w14:textId="670E0239" w:rsidR="00FE0AEE" w:rsidRPr="0072162B" w:rsidRDefault="00FE0AEE" w:rsidP="00CC053C">
            <w:pPr>
              <w:jc w:val="center"/>
              <w:rPr>
                <w:b/>
                <w:color w:val="auto"/>
              </w:rPr>
            </w:pPr>
            <w:r>
              <w:rPr>
                <w:b/>
                <w:color w:val="auto"/>
              </w:rPr>
              <w:t xml:space="preserve">COUNCIL </w:t>
            </w:r>
          </w:p>
        </w:tc>
      </w:tr>
      <w:tr w:rsidR="00FE0AEE" w:rsidRPr="0072162B" w14:paraId="0AB15832" w14:textId="52CE16D5" w:rsidTr="00357FC1">
        <w:trPr>
          <w:jc w:val="center"/>
        </w:trPr>
        <w:tc>
          <w:tcPr>
            <w:tcW w:w="4135" w:type="dxa"/>
          </w:tcPr>
          <w:p w14:paraId="76CD81B5" w14:textId="77777777" w:rsidR="00FE0AEE" w:rsidRPr="0072162B" w:rsidRDefault="00FE0AEE" w:rsidP="00CC053C">
            <w:pPr>
              <w:spacing w:line="240" w:lineRule="auto"/>
              <w:rPr>
                <w:rFonts w:cs="Arial"/>
                <w:color w:val="auto"/>
              </w:rPr>
            </w:pPr>
            <w:r w:rsidRPr="0072162B">
              <w:rPr>
                <w:color w:val="auto"/>
              </w:rPr>
              <w:t xml:space="preserve">(2) Member States shall ensure that gas and electricity transmission and distribution network operators apply the energy efficiency first principle in accordance with Article 3 of this Directive in their network planning, network development and investment decisions. While taking security of supply and market integration into account, Member States shall ensure that transmission system operators and distribution system operators do not invest in stranded assets to contribute to climate change mitigation. National regulatory authorities should provide methodologies and guidance on how to assess alternatives in the cost-benefit analysis, </w:t>
            </w:r>
            <w:proofErr w:type="gramStart"/>
            <w:r w:rsidRPr="0072162B">
              <w:rPr>
                <w:color w:val="auto"/>
              </w:rPr>
              <w:t>taking into account</w:t>
            </w:r>
            <w:proofErr w:type="gramEnd"/>
            <w:r w:rsidRPr="0072162B">
              <w:rPr>
                <w:color w:val="auto"/>
              </w:rPr>
              <w:t xml:space="preserve"> wider benefits, and verify the implementation of the energy efficiency first principle by the transmission system operators or distribution system operators when approving, verifying or monitoring the projects submitted by the transmission system operators or distribution system operators.</w:t>
            </w:r>
          </w:p>
        </w:tc>
        <w:tc>
          <w:tcPr>
            <w:tcW w:w="4084" w:type="dxa"/>
          </w:tcPr>
          <w:p w14:paraId="2C606FE4" w14:textId="2F67D5D5" w:rsidR="00FE0AEE" w:rsidRPr="0072162B" w:rsidRDefault="00FE0AEE" w:rsidP="00CC053C">
            <w:pPr>
              <w:rPr>
                <w:strike/>
                <w:color w:val="auto"/>
              </w:rPr>
            </w:pPr>
            <w:r w:rsidRPr="0072162B">
              <w:rPr>
                <w:color w:val="auto"/>
              </w:rPr>
              <w:t xml:space="preserve">(2) Member States shall ensure that gas and electricity transmission and distribution network operators apply the energy efficiency first principle in accordance with Article 3 of this Directive in their network planning, network development and investment decisions. While taking security of supply, </w:t>
            </w:r>
            <w:r w:rsidRPr="0072162B">
              <w:rPr>
                <w:b/>
                <w:color w:val="auto"/>
                <w:u w:val="single"/>
              </w:rPr>
              <w:t>operational safety</w:t>
            </w:r>
            <w:r w:rsidRPr="0072162B">
              <w:rPr>
                <w:color w:val="auto"/>
              </w:rPr>
              <w:t xml:space="preserve"> and market integration into account, Member States shall ensure that transmission system operators and distribution system operators </w:t>
            </w:r>
            <w:r w:rsidRPr="0072162B">
              <w:rPr>
                <w:b/>
                <w:strike/>
                <w:color w:val="auto"/>
                <w:u w:val="single"/>
              </w:rPr>
              <w:t>do</w:t>
            </w:r>
            <w:r w:rsidRPr="0072162B">
              <w:rPr>
                <w:color w:val="auto"/>
              </w:rPr>
              <w:t xml:space="preserve"> </w:t>
            </w:r>
            <w:r w:rsidRPr="0072162B">
              <w:rPr>
                <w:b/>
                <w:strike/>
                <w:color w:val="auto"/>
                <w:u w:val="single"/>
              </w:rPr>
              <w:t>not</w:t>
            </w:r>
            <w:r w:rsidRPr="0072162B">
              <w:rPr>
                <w:color w:val="auto"/>
              </w:rPr>
              <w:t xml:space="preserve"> invest in </w:t>
            </w:r>
            <w:r w:rsidRPr="0072162B">
              <w:rPr>
                <w:b/>
                <w:strike/>
                <w:color w:val="auto"/>
                <w:u w:val="single"/>
              </w:rPr>
              <w:t>stranded</w:t>
            </w:r>
            <w:r w:rsidRPr="0072162B">
              <w:rPr>
                <w:color w:val="auto"/>
              </w:rPr>
              <w:t xml:space="preserve"> </w:t>
            </w:r>
            <w:r w:rsidRPr="0072162B">
              <w:rPr>
                <w:b/>
                <w:color w:val="auto"/>
                <w:u w:val="single"/>
              </w:rPr>
              <w:t>future-proof</w:t>
            </w:r>
            <w:r w:rsidRPr="0072162B">
              <w:rPr>
                <w:color w:val="auto"/>
              </w:rPr>
              <w:t xml:space="preserve"> assets to contribute to climate change mitigation. National regulatory authorities should provide methodologies and guidance on how to assess alternatives in the cost-benefit analysis, </w:t>
            </w:r>
            <w:proofErr w:type="gramStart"/>
            <w:r w:rsidRPr="0072162B">
              <w:rPr>
                <w:color w:val="auto"/>
              </w:rPr>
              <w:t>taking into account</w:t>
            </w:r>
            <w:proofErr w:type="gramEnd"/>
            <w:r w:rsidRPr="0072162B">
              <w:rPr>
                <w:color w:val="auto"/>
              </w:rPr>
              <w:t xml:space="preserve"> wider benefits, and verify the implementation of the energy efficiency first principle by the transmission system operators or distribution system operators when approving, verifying or monitoring the projects submitted by the transmission system operators or distribution system operators.</w:t>
            </w:r>
          </w:p>
        </w:tc>
        <w:tc>
          <w:tcPr>
            <w:tcW w:w="4084" w:type="dxa"/>
          </w:tcPr>
          <w:p w14:paraId="474ED61A" w14:textId="5A16D759" w:rsidR="00FE0AEE" w:rsidRPr="00FE0AEE" w:rsidRDefault="00FE0AEE" w:rsidP="00CC053C">
            <w:pPr>
              <w:rPr>
                <w:color w:val="auto"/>
              </w:rPr>
            </w:pPr>
            <w:r>
              <w:rPr>
                <w:color w:val="auto"/>
              </w:rPr>
              <w:t xml:space="preserve">(2) </w:t>
            </w:r>
            <w:r w:rsidRPr="0072162B">
              <w:rPr>
                <w:color w:val="auto"/>
              </w:rPr>
              <w:t>Member States shall ensure that gas and electricity transmission and distribution network operators apply the energy efficiency first principle in accordance with Article 3 of this Directive in their network planning, network development and</w:t>
            </w:r>
            <w:r>
              <w:rPr>
                <w:color w:val="auto"/>
              </w:rPr>
              <w:t xml:space="preserve"> </w:t>
            </w:r>
            <w:r w:rsidRPr="00FE0AEE">
              <w:rPr>
                <w:b/>
                <w:bCs/>
                <w:color w:val="auto"/>
                <w:u w:val="single"/>
              </w:rPr>
              <w:t>major</w:t>
            </w:r>
            <w:r w:rsidRPr="0072162B">
              <w:rPr>
                <w:color w:val="auto"/>
              </w:rPr>
              <w:t xml:space="preserve"> investment decisions.</w:t>
            </w:r>
            <w:r>
              <w:rPr>
                <w:color w:val="auto"/>
              </w:rPr>
              <w:t xml:space="preserve"> </w:t>
            </w:r>
            <w:r w:rsidRPr="00FE0AEE">
              <w:rPr>
                <w:b/>
                <w:bCs/>
                <w:strike/>
                <w:color w:val="auto"/>
              </w:rPr>
              <w:t>While taking security of supply and market integration into account, Member States shall ensure that transmission system operators and distribution system operators do not invest in stranded assets to contribute to climate change mitigation.</w:t>
            </w:r>
            <w:r>
              <w:rPr>
                <w:b/>
                <w:bCs/>
                <w:strike/>
                <w:color w:val="auto"/>
              </w:rPr>
              <w:t xml:space="preserve"> </w:t>
            </w:r>
            <w:r>
              <w:rPr>
                <w:color w:val="auto"/>
              </w:rPr>
              <w:t xml:space="preserve">National regulatory authorities </w:t>
            </w:r>
            <w:r w:rsidRPr="00FE0AEE">
              <w:rPr>
                <w:b/>
                <w:bCs/>
                <w:color w:val="auto"/>
                <w:u w:val="single"/>
              </w:rPr>
              <w:t>or other designated national author</w:t>
            </w:r>
            <w:r w:rsidR="00B607E9">
              <w:rPr>
                <w:b/>
                <w:bCs/>
                <w:color w:val="auto"/>
                <w:u w:val="single"/>
              </w:rPr>
              <w:t>i</w:t>
            </w:r>
            <w:r w:rsidRPr="00FE0AEE">
              <w:rPr>
                <w:b/>
                <w:bCs/>
                <w:color w:val="auto"/>
                <w:u w:val="single"/>
              </w:rPr>
              <w:t>ties shall verify that</w:t>
            </w:r>
            <w:r w:rsidRPr="00FE0AEE">
              <w:rPr>
                <w:color w:val="auto"/>
              </w:rPr>
              <w:t xml:space="preserve"> </w:t>
            </w:r>
            <w:r w:rsidRPr="00FE0AEE">
              <w:rPr>
                <w:b/>
                <w:bCs/>
                <w:strike/>
                <w:color w:val="auto"/>
              </w:rPr>
              <w:t>should provide</w:t>
            </w:r>
            <w:r w:rsidRPr="00FE0AEE">
              <w:rPr>
                <w:color w:val="auto"/>
              </w:rPr>
              <w:t xml:space="preserve"> methodologies</w:t>
            </w:r>
            <w:r>
              <w:rPr>
                <w:color w:val="auto"/>
              </w:rPr>
              <w:t xml:space="preserve"> </w:t>
            </w:r>
            <w:r w:rsidRPr="00FE0AEE">
              <w:rPr>
                <w:b/>
                <w:bCs/>
                <w:strike/>
                <w:color w:val="auto"/>
              </w:rPr>
              <w:t>and guidance on how to</w:t>
            </w:r>
            <w:r w:rsidRPr="0072162B">
              <w:rPr>
                <w:color w:val="auto"/>
              </w:rPr>
              <w:t xml:space="preserve"> </w:t>
            </w:r>
            <w:proofErr w:type="spellStart"/>
            <w:r w:rsidR="00232842" w:rsidRPr="00232842">
              <w:rPr>
                <w:b/>
                <w:bCs/>
                <w:color w:val="auto"/>
                <w:u w:val="single"/>
              </w:rPr>
              <w:t>used</w:t>
            </w:r>
            <w:proofErr w:type="spellEnd"/>
            <w:r w:rsidR="00232842" w:rsidRPr="00232842">
              <w:rPr>
                <w:b/>
                <w:bCs/>
                <w:color w:val="auto"/>
                <w:u w:val="single"/>
              </w:rPr>
              <w:t xml:space="preserve"> by transmission system operators and distribution systems operators</w:t>
            </w:r>
            <w:r w:rsidR="00232842">
              <w:rPr>
                <w:color w:val="auto"/>
              </w:rPr>
              <w:t xml:space="preserve"> </w:t>
            </w:r>
            <w:r w:rsidRPr="0072162B">
              <w:rPr>
                <w:color w:val="auto"/>
              </w:rPr>
              <w:t>assess alternatives in the cost-benefit analysis</w:t>
            </w:r>
            <w:r w:rsidR="00232842">
              <w:rPr>
                <w:color w:val="auto"/>
              </w:rPr>
              <w:t xml:space="preserve"> </w:t>
            </w:r>
            <w:r w:rsidRPr="00232842">
              <w:rPr>
                <w:b/>
                <w:bCs/>
                <w:strike/>
                <w:color w:val="auto"/>
              </w:rPr>
              <w:t>, taking</w:t>
            </w:r>
            <w:r w:rsidRPr="0072162B">
              <w:rPr>
                <w:color w:val="auto"/>
              </w:rPr>
              <w:t xml:space="preserve"> </w:t>
            </w:r>
            <w:r w:rsidR="00232842" w:rsidRPr="00232842">
              <w:rPr>
                <w:b/>
                <w:bCs/>
                <w:color w:val="auto"/>
                <w:u w:val="single"/>
              </w:rPr>
              <w:t>and take</w:t>
            </w:r>
            <w:r w:rsidR="00232842">
              <w:rPr>
                <w:color w:val="auto"/>
              </w:rPr>
              <w:t xml:space="preserve"> </w:t>
            </w:r>
            <w:r w:rsidRPr="0072162B">
              <w:rPr>
                <w:color w:val="auto"/>
              </w:rPr>
              <w:t xml:space="preserve">into account </w:t>
            </w:r>
            <w:r w:rsidR="00232842" w:rsidRPr="00232842">
              <w:rPr>
                <w:b/>
                <w:bCs/>
                <w:color w:val="auto"/>
                <w:u w:val="single"/>
              </w:rPr>
              <w:t>the</w:t>
            </w:r>
            <w:r w:rsidR="00232842">
              <w:rPr>
                <w:color w:val="auto"/>
              </w:rPr>
              <w:t xml:space="preserve"> </w:t>
            </w:r>
            <w:r w:rsidRPr="0072162B">
              <w:rPr>
                <w:color w:val="auto"/>
              </w:rPr>
              <w:t>wider benefits</w:t>
            </w:r>
            <w:r w:rsidR="00232842">
              <w:rPr>
                <w:color w:val="auto"/>
              </w:rPr>
              <w:t xml:space="preserve"> </w:t>
            </w:r>
            <w:r w:rsidR="00232842" w:rsidRPr="00232842">
              <w:rPr>
                <w:b/>
                <w:bCs/>
                <w:color w:val="auto"/>
                <w:u w:val="single"/>
              </w:rPr>
              <w:t>of energy efficiency solutions</w:t>
            </w:r>
            <w:r w:rsidR="00232842">
              <w:rPr>
                <w:color w:val="auto"/>
              </w:rPr>
              <w:t xml:space="preserve">. </w:t>
            </w:r>
            <w:r w:rsidRPr="00232842">
              <w:rPr>
                <w:b/>
                <w:bCs/>
                <w:strike/>
                <w:color w:val="auto"/>
              </w:rPr>
              <w:t>, and</w:t>
            </w:r>
            <w:r w:rsidRPr="0072162B">
              <w:rPr>
                <w:color w:val="auto"/>
              </w:rPr>
              <w:t xml:space="preserve"> </w:t>
            </w:r>
            <w:r w:rsidR="00232842" w:rsidRPr="00232842">
              <w:rPr>
                <w:b/>
                <w:bCs/>
                <w:color w:val="auto"/>
                <w:u w:val="single"/>
              </w:rPr>
              <w:t xml:space="preserve">National regulatory authorities and other </w:t>
            </w:r>
            <w:r w:rsidR="00232842" w:rsidRPr="00232842">
              <w:rPr>
                <w:b/>
                <w:bCs/>
                <w:color w:val="auto"/>
                <w:u w:val="single"/>
              </w:rPr>
              <w:lastRenderedPageBreak/>
              <w:t>designated authorities shall also</w:t>
            </w:r>
            <w:r w:rsidR="00232842">
              <w:rPr>
                <w:color w:val="auto"/>
              </w:rPr>
              <w:t xml:space="preserve"> </w:t>
            </w:r>
            <w:r w:rsidRPr="0072162B">
              <w:rPr>
                <w:color w:val="auto"/>
              </w:rPr>
              <w:t>verify the implementation of the energy efficiency first principle by the transmission system operators or distribution system operators when approving, verifying or monitoring the</w:t>
            </w:r>
            <w:r w:rsidR="00B607E9" w:rsidRPr="00B607E9">
              <w:rPr>
                <w:b/>
                <w:bCs/>
                <w:color w:val="auto"/>
                <w:u w:val="single"/>
              </w:rPr>
              <w:t>ir</w:t>
            </w:r>
            <w:r w:rsidRPr="0072162B">
              <w:rPr>
                <w:color w:val="auto"/>
              </w:rPr>
              <w:t xml:space="preserve"> projects </w:t>
            </w:r>
            <w:r w:rsidRPr="00B607E9">
              <w:rPr>
                <w:b/>
                <w:bCs/>
                <w:strike/>
                <w:color w:val="auto"/>
              </w:rPr>
              <w:t>submitted by the</w:t>
            </w:r>
            <w:r w:rsidRPr="00B607E9">
              <w:rPr>
                <w:b/>
                <w:bCs/>
                <w:strike/>
                <w:color w:val="auto"/>
              </w:rPr>
              <w:t xml:space="preserve"> </w:t>
            </w:r>
            <w:r w:rsidRPr="00B607E9">
              <w:rPr>
                <w:b/>
                <w:bCs/>
                <w:strike/>
                <w:color w:val="auto"/>
              </w:rPr>
              <w:t>transmission system operators or distribution system operators</w:t>
            </w:r>
            <w:r w:rsidR="00B607E9">
              <w:rPr>
                <w:color w:val="auto"/>
              </w:rPr>
              <w:t xml:space="preserve"> </w:t>
            </w:r>
            <w:r w:rsidR="00B607E9" w:rsidRPr="00B607E9">
              <w:rPr>
                <w:b/>
                <w:bCs/>
                <w:color w:val="auto"/>
                <w:u w:val="single"/>
              </w:rPr>
              <w:t xml:space="preserve">and network development plans </w:t>
            </w:r>
            <w:r w:rsidR="00B607E9" w:rsidRPr="00B607E9">
              <w:rPr>
                <w:b/>
                <w:bCs/>
                <w:color w:val="auto"/>
                <w:u w:val="single"/>
              </w:rPr>
              <w:t>pursuant to Article 32(3) and 51 of Directive 2019/944 and Article 22 of Directive 2009/73/EC</w:t>
            </w:r>
            <w:r w:rsidRPr="0072162B">
              <w:rPr>
                <w:color w:val="auto"/>
              </w:rPr>
              <w:t>.</w:t>
            </w:r>
          </w:p>
        </w:tc>
      </w:tr>
    </w:tbl>
    <w:p w14:paraId="13D981C1" w14:textId="77777777" w:rsidR="006C7D1B" w:rsidRPr="0072162B" w:rsidRDefault="006C7D1B" w:rsidP="00171938">
      <w:pPr>
        <w:pStyle w:val="NoSpacing"/>
        <w:jc w:val="both"/>
        <w:rPr>
          <w:lang w:val="en-GB"/>
        </w:rPr>
      </w:pPr>
    </w:p>
    <w:p w14:paraId="068915E4" w14:textId="54F17F52" w:rsidR="00171938" w:rsidRDefault="00171938" w:rsidP="00171938">
      <w:pPr>
        <w:pStyle w:val="NoSpacing"/>
        <w:jc w:val="both"/>
        <w:rPr>
          <w:lang w:val="en-GB"/>
        </w:rPr>
      </w:pPr>
    </w:p>
    <w:p w14:paraId="49486CD1" w14:textId="7A837998" w:rsidR="006875BF" w:rsidRPr="00FE4724" w:rsidRDefault="006875BF" w:rsidP="00FE4724">
      <w:pPr>
        <w:rPr>
          <w:rFonts w:asciiTheme="minorHAnsi" w:eastAsia="Arial" w:hAnsiTheme="minorHAnsi" w:cstheme="minorHAnsi"/>
          <w:b/>
          <w:bCs/>
          <w:color w:val="002060"/>
          <w:sz w:val="22"/>
          <w:szCs w:val="22"/>
        </w:rPr>
      </w:pPr>
      <w:r w:rsidRPr="00FE4724">
        <w:rPr>
          <w:rFonts w:asciiTheme="minorHAnsi" w:hAnsiTheme="minorHAnsi" w:cstheme="minorHAnsi"/>
          <w:b/>
          <w:bCs/>
          <w:color w:val="002060"/>
          <w:sz w:val="22"/>
          <w:szCs w:val="22"/>
        </w:rPr>
        <w:t xml:space="preserve">Article 25 (3) – Energy transformation, </w:t>
      </w:r>
      <w:proofErr w:type="gramStart"/>
      <w:r w:rsidRPr="00FE4724">
        <w:rPr>
          <w:rFonts w:asciiTheme="minorHAnsi" w:hAnsiTheme="minorHAnsi" w:cstheme="minorHAnsi"/>
          <w:b/>
          <w:bCs/>
          <w:color w:val="002060"/>
          <w:sz w:val="22"/>
          <w:szCs w:val="22"/>
        </w:rPr>
        <w:t>transmission</w:t>
      </w:r>
      <w:proofErr w:type="gramEnd"/>
      <w:r w:rsidRPr="00FE4724">
        <w:rPr>
          <w:rFonts w:asciiTheme="minorHAnsi" w:hAnsiTheme="minorHAnsi" w:cstheme="minorHAnsi"/>
          <w:b/>
          <w:bCs/>
          <w:color w:val="002060"/>
          <w:sz w:val="22"/>
          <w:szCs w:val="22"/>
        </w:rPr>
        <w:t xml:space="preserve"> and distribution </w:t>
      </w:r>
    </w:p>
    <w:p w14:paraId="4FAE3DC9" w14:textId="6A852F6B" w:rsidR="006875BF" w:rsidRDefault="006875BF" w:rsidP="00171938">
      <w:pPr>
        <w:pStyle w:val="NoSpacing"/>
        <w:jc w:val="both"/>
        <w:rPr>
          <w:lang w:val="en-GB"/>
        </w:rPr>
      </w:pPr>
    </w:p>
    <w:p w14:paraId="12790F30" w14:textId="77777777" w:rsidR="006875BF" w:rsidRPr="0072162B" w:rsidRDefault="006875BF" w:rsidP="00171938">
      <w:pPr>
        <w:pStyle w:val="NoSpacing"/>
        <w:jc w:val="both"/>
        <w:rPr>
          <w:lang w:val="en-GB"/>
        </w:rPr>
      </w:pPr>
    </w:p>
    <w:tbl>
      <w:tblPr>
        <w:tblStyle w:val="TableGrid"/>
        <w:tblW w:w="12435" w:type="dxa"/>
        <w:jc w:val="center"/>
        <w:tblLayout w:type="fixed"/>
        <w:tblLook w:val="04A0" w:firstRow="1" w:lastRow="0" w:firstColumn="1" w:lastColumn="0" w:noHBand="0" w:noVBand="1"/>
      </w:tblPr>
      <w:tblGrid>
        <w:gridCol w:w="4135"/>
        <w:gridCol w:w="4150"/>
        <w:gridCol w:w="4150"/>
      </w:tblGrid>
      <w:tr w:rsidR="00442ABA" w:rsidRPr="0072162B" w14:paraId="4F2D7860" w14:textId="349211D1" w:rsidTr="00442ABA">
        <w:trPr>
          <w:jc w:val="center"/>
        </w:trPr>
        <w:tc>
          <w:tcPr>
            <w:tcW w:w="4135" w:type="dxa"/>
          </w:tcPr>
          <w:p w14:paraId="3C3C8E17" w14:textId="41D66216" w:rsidR="00442ABA" w:rsidRPr="0072162B" w:rsidRDefault="00442ABA" w:rsidP="006875BF">
            <w:pPr>
              <w:jc w:val="center"/>
              <w:rPr>
                <w:b/>
                <w:bCs/>
                <w:color w:val="auto"/>
              </w:rPr>
            </w:pPr>
            <w:r w:rsidRPr="0072162B">
              <w:rPr>
                <w:b/>
                <w:bCs/>
                <w:color w:val="auto"/>
              </w:rPr>
              <w:t xml:space="preserve">European Commission </w:t>
            </w:r>
          </w:p>
        </w:tc>
        <w:tc>
          <w:tcPr>
            <w:tcW w:w="4150" w:type="dxa"/>
          </w:tcPr>
          <w:p w14:paraId="7A23EC4E" w14:textId="219C714D" w:rsidR="00442ABA" w:rsidRDefault="00442ABA" w:rsidP="006875BF">
            <w:pPr>
              <w:jc w:val="center"/>
              <w:rPr>
                <w:b/>
                <w:bCs/>
                <w:color w:val="auto"/>
              </w:rPr>
            </w:pPr>
            <w:r>
              <w:rPr>
                <w:b/>
                <w:bCs/>
                <w:color w:val="auto"/>
              </w:rPr>
              <w:t>GEODE</w:t>
            </w:r>
          </w:p>
        </w:tc>
        <w:tc>
          <w:tcPr>
            <w:tcW w:w="4150" w:type="dxa"/>
          </w:tcPr>
          <w:p w14:paraId="62C2437C" w14:textId="20760567" w:rsidR="00442ABA" w:rsidRDefault="00442ABA" w:rsidP="006875BF">
            <w:pPr>
              <w:jc w:val="center"/>
              <w:rPr>
                <w:b/>
                <w:bCs/>
                <w:color w:val="auto"/>
              </w:rPr>
            </w:pPr>
            <w:r>
              <w:rPr>
                <w:b/>
                <w:bCs/>
                <w:color w:val="auto"/>
              </w:rPr>
              <w:t>COUNCIL</w:t>
            </w:r>
          </w:p>
        </w:tc>
      </w:tr>
      <w:tr w:rsidR="00442ABA" w:rsidRPr="0072162B" w14:paraId="77F9BFE2" w14:textId="4A351DD8" w:rsidTr="00442ABA">
        <w:trPr>
          <w:jc w:val="center"/>
        </w:trPr>
        <w:tc>
          <w:tcPr>
            <w:tcW w:w="4135" w:type="dxa"/>
          </w:tcPr>
          <w:p w14:paraId="6E8C6FDA" w14:textId="77777777" w:rsidR="00442ABA" w:rsidRPr="0072162B" w:rsidRDefault="00442ABA" w:rsidP="006875BF">
            <w:pPr>
              <w:rPr>
                <w:rFonts w:eastAsia="Arial" w:cs="Arial"/>
                <w:color w:val="auto"/>
              </w:rPr>
            </w:pPr>
            <w:r w:rsidRPr="0072162B">
              <w:rPr>
                <w:color w:val="auto"/>
              </w:rPr>
              <w:t xml:space="preserve">(3) Member States shall ensure that transmission and distribution network operators map network losses and take cost-effective measures to reduce network losses. </w:t>
            </w:r>
          </w:p>
          <w:p w14:paraId="4D5B7841" w14:textId="77777777" w:rsidR="00442ABA" w:rsidRPr="0072162B" w:rsidRDefault="00442ABA" w:rsidP="006875BF">
            <w:pPr>
              <w:rPr>
                <w:color w:val="auto"/>
              </w:rPr>
            </w:pPr>
            <w:r w:rsidRPr="0072162B">
              <w:rPr>
                <w:color w:val="auto"/>
              </w:rPr>
              <w:t xml:space="preserve">Transmission and distribution network operators shall report those measures and expected energy savings through the reduction of network losses to the national energy regulatory authority. National energy regulatory authorities shall limit the possibility for transmission and distribution network operators to recover avoidable network losses from tariffs paid by consumers. Member States shall ensure that transmission and distribution operators assess energy efficiency improvement measures </w:t>
            </w:r>
            <w:proofErr w:type="gramStart"/>
            <w:r w:rsidRPr="0072162B">
              <w:rPr>
                <w:color w:val="auto"/>
              </w:rPr>
              <w:t>with regard to</w:t>
            </w:r>
            <w:proofErr w:type="gramEnd"/>
            <w:r w:rsidRPr="0072162B">
              <w:rPr>
                <w:color w:val="auto"/>
              </w:rPr>
              <w:t xml:space="preserve"> their existing gas or electricity transmission or distribution systems and improve energy efficiency in infrastructure design and operation. Member States shall encourage transmission and distribution network </w:t>
            </w:r>
            <w:r w:rsidRPr="0072162B">
              <w:rPr>
                <w:color w:val="auto"/>
              </w:rPr>
              <w:lastRenderedPageBreak/>
              <w:t xml:space="preserve">operators to develop innovative solutions to improve the energy efficiency of existing systems through </w:t>
            </w:r>
            <w:proofErr w:type="gramStart"/>
            <w:r w:rsidRPr="0072162B">
              <w:rPr>
                <w:color w:val="auto"/>
              </w:rPr>
              <w:t>incentive based</w:t>
            </w:r>
            <w:proofErr w:type="gramEnd"/>
            <w:r w:rsidRPr="0072162B">
              <w:rPr>
                <w:color w:val="auto"/>
              </w:rPr>
              <w:t xml:space="preserve"> regulations.</w:t>
            </w:r>
          </w:p>
        </w:tc>
        <w:tc>
          <w:tcPr>
            <w:tcW w:w="4150" w:type="dxa"/>
          </w:tcPr>
          <w:p w14:paraId="174EDC06" w14:textId="754B1377" w:rsidR="00442ABA" w:rsidRPr="0072162B" w:rsidRDefault="00442ABA" w:rsidP="006875BF">
            <w:pPr>
              <w:rPr>
                <w:rFonts w:eastAsia="Arial" w:cs="Arial"/>
                <w:strike/>
                <w:color w:val="auto"/>
              </w:rPr>
            </w:pPr>
            <w:r w:rsidRPr="0072162B">
              <w:rPr>
                <w:color w:val="auto"/>
              </w:rPr>
              <w:lastRenderedPageBreak/>
              <w:t>(3) Member States shall ensure that transmission and distribution network operators</w:t>
            </w:r>
            <w:r>
              <w:rPr>
                <w:color w:val="auto"/>
              </w:rPr>
              <w:t xml:space="preserve"> </w:t>
            </w:r>
            <w:r w:rsidRPr="00442ABA">
              <w:rPr>
                <w:b/>
                <w:bCs/>
                <w:strike/>
                <w:color w:val="auto"/>
              </w:rPr>
              <w:t>map</w:t>
            </w:r>
            <w:r w:rsidRPr="0072162B">
              <w:rPr>
                <w:color w:val="auto"/>
              </w:rPr>
              <w:t xml:space="preserve"> </w:t>
            </w:r>
            <w:r w:rsidRPr="0072162B">
              <w:rPr>
                <w:b/>
                <w:color w:val="auto"/>
                <w:u w:val="single"/>
              </w:rPr>
              <w:t>capture</w:t>
            </w:r>
            <w:r w:rsidRPr="0072162B">
              <w:rPr>
                <w:color w:val="auto"/>
              </w:rPr>
              <w:t xml:space="preserve"> network losses </w:t>
            </w:r>
            <w:r w:rsidRPr="0072162B">
              <w:rPr>
                <w:strike/>
                <w:color w:val="auto"/>
              </w:rPr>
              <w:t xml:space="preserve">and take cost-effective measures to reduce network losses. </w:t>
            </w:r>
          </w:p>
          <w:p w14:paraId="475B9CE2" w14:textId="77777777" w:rsidR="00442ABA" w:rsidRPr="0072162B" w:rsidRDefault="00442ABA" w:rsidP="006875BF">
            <w:pPr>
              <w:rPr>
                <w:rFonts w:eastAsia="Arial" w:cs="Arial"/>
                <w:strike/>
                <w:color w:val="auto"/>
              </w:rPr>
            </w:pPr>
            <w:r w:rsidRPr="0072162B">
              <w:rPr>
                <w:b/>
                <w:color w:val="auto"/>
              </w:rPr>
              <w:t>National energy regulatory authorities shall encourage transmission and distribution network operators to optimise network losses and monitor the development of network losses.</w:t>
            </w:r>
          </w:p>
          <w:p w14:paraId="209E679D" w14:textId="15D663F3" w:rsidR="00442ABA" w:rsidRPr="0072162B" w:rsidRDefault="00442ABA" w:rsidP="006875BF">
            <w:pPr>
              <w:rPr>
                <w:rFonts w:eastAsia="Arial" w:cs="Arial"/>
                <w:color w:val="auto"/>
              </w:rPr>
            </w:pPr>
            <w:r w:rsidRPr="0072162B">
              <w:rPr>
                <w:strike/>
                <w:color w:val="auto"/>
              </w:rPr>
              <w:t>Transmission and distribution network operators shall report those measures and expected energy savings through the reduction of network losses to the national energy regulatory authority. National energy regulatory authorities shall limit the possibility for transmission and distribution network operators to recover avoidable network losses from tariffs paid by consumers.</w:t>
            </w:r>
            <w:r w:rsidRPr="0072162B">
              <w:rPr>
                <w:color w:val="auto"/>
              </w:rPr>
              <w:t xml:space="preserve"> Member States shall ensure that transmission and distribution operators assess energy efficiency </w:t>
            </w:r>
            <w:r w:rsidRPr="0072162B">
              <w:rPr>
                <w:color w:val="auto"/>
              </w:rPr>
              <w:lastRenderedPageBreak/>
              <w:t xml:space="preserve">improvement measures </w:t>
            </w:r>
            <w:proofErr w:type="gramStart"/>
            <w:r w:rsidRPr="0072162B">
              <w:rPr>
                <w:color w:val="auto"/>
              </w:rPr>
              <w:t>with regard to</w:t>
            </w:r>
            <w:proofErr w:type="gramEnd"/>
            <w:r w:rsidRPr="0072162B">
              <w:rPr>
                <w:color w:val="auto"/>
              </w:rPr>
              <w:t xml:space="preserve"> their existing gas or electricity transmission or distribution systems and improve energy efficiency in infrastructure design and operation. Member States shall encourage transmission and distribution network operators to develop innovative solutions to improve the energy efficiency of existing systems through incentive-based regulations.</w:t>
            </w:r>
            <w:r w:rsidRPr="0072162B">
              <w:rPr>
                <w:b/>
                <w:bCs/>
                <w:i/>
                <w:iCs/>
                <w:color w:val="auto"/>
              </w:rPr>
              <w:t xml:space="preserve"> </w:t>
            </w:r>
          </w:p>
        </w:tc>
        <w:tc>
          <w:tcPr>
            <w:tcW w:w="4150" w:type="dxa"/>
          </w:tcPr>
          <w:p w14:paraId="32A973BE" w14:textId="48B3D771" w:rsidR="002119A9" w:rsidRPr="002119A9" w:rsidRDefault="00442ABA" w:rsidP="002119A9">
            <w:pPr>
              <w:rPr>
                <w:b/>
                <w:bCs/>
                <w:color w:val="auto"/>
                <w:u w:val="single"/>
              </w:rPr>
            </w:pPr>
            <w:r>
              <w:rPr>
                <w:rFonts w:eastAsia="Arial" w:cs="Arial"/>
                <w:color w:val="auto"/>
              </w:rPr>
              <w:lastRenderedPageBreak/>
              <w:t xml:space="preserve">(3) </w:t>
            </w:r>
            <w:r w:rsidRPr="00442ABA">
              <w:rPr>
                <w:rFonts w:eastAsia="Arial" w:cs="Arial"/>
                <w:color w:val="auto"/>
              </w:rPr>
              <w:t>Member States shall ensure that transmission and distribution system operators map</w:t>
            </w:r>
            <w:r>
              <w:rPr>
                <w:rFonts w:eastAsia="Arial" w:cs="Arial"/>
                <w:color w:val="auto"/>
              </w:rPr>
              <w:t xml:space="preserve"> </w:t>
            </w:r>
            <w:r w:rsidRPr="00442ABA">
              <w:rPr>
                <w:rFonts w:eastAsia="Arial" w:cs="Arial"/>
                <w:color w:val="auto"/>
              </w:rPr>
              <w:t>network losses and take cost-effective measures to</w:t>
            </w:r>
            <w:r w:rsidR="00C24039">
              <w:rPr>
                <w:rFonts w:eastAsia="Arial" w:cs="Arial"/>
                <w:color w:val="auto"/>
              </w:rPr>
              <w:t xml:space="preserve"> </w:t>
            </w:r>
            <w:r w:rsidR="00C24039" w:rsidRPr="00C24039">
              <w:rPr>
                <w:b/>
                <w:bCs/>
                <w:strike/>
                <w:color w:val="auto"/>
              </w:rPr>
              <w:t>reduce network losses</w:t>
            </w:r>
            <w:r w:rsidR="00C24039">
              <w:rPr>
                <w:b/>
                <w:bCs/>
                <w:strike/>
                <w:color w:val="auto"/>
              </w:rPr>
              <w:t xml:space="preserve"> </w:t>
            </w:r>
            <w:r w:rsidR="00C24039" w:rsidRPr="00C24039">
              <w:rPr>
                <w:b/>
                <w:bCs/>
                <w:color w:val="auto"/>
              </w:rPr>
              <w:t>optimise networks, where it is</w:t>
            </w:r>
            <w:r w:rsidR="00C24039">
              <w:rPr>
                <w:b/>
                <w:bCs/>
                <w:color w:val="auto"/>
              </w:rPr>
              <w:t xml:space="preserve"> </w:t>
            </w:r>
            <w:r w:rsidR="00C24039" w:rsidRPr="00C24039">
              <w:rPr>
                <w:b/>
                <w:bCs/>
                <w:color w:val="auto"/>
              </w:rPr>
              <w:t>technically and financially feasible</w:t>
            </w:r>
            <w:r w:rsidR="00C24039">
              <w:rPr>
                <w:color w:val="auto"/>
              </w:rPr>
              <w:t xml:space="preserve">. </w:t>
            </w:r>
            <w:r w:rsidR="00C24039" w:rsidRPr="00C24039">
              <w:rPr>
                <w:color w:val="auto"/>
              </w:rPr>
              <w:t>Transmission and distribution network operators shall report those measures and expected energy savings through the reduction of network losses to the national energy regulatory authority</w:t>
            </w:r>
            <w:r w:rsidR="00C24039">
              <w:rPr>
                <w:color w:val="auto"/>
              </w:rPr>
              <w:t>.</w:t>
            </w:r>
            <w:r w:rsidR="002119A9">
              <w:rPr>
                <w:color w:val="auto"/>
              </w:rPr>
              <w:t xml:space="preserve"> </w:t>
            </w:r>
            <w:r w:rsidR="002119A9" w:rsidRPr="002119A9">
              <w:rPr>
                <w:color w:val="auto"/>
              </w:rPr>
              <w:t>National energy regulatory authorities shall</w:t>
            </w:r>
            <w:r w:rsidR="002119A9">
              <w:rPr>
                <w:color w:val="auto"/>
              </w:rPr>
              <w:t xml:space="preserve"> </w:t>
            </w:r>
            <w:r w:rsidR="002119A9" w:rsidRPr="002119A9">
              <w:rPr>
                <w:b/>
                <w:bCs/>
                <w:strike/>
                <w:color w:val="auto"/>
              </w:rPr>
              <w:t>limit the possibility for</w:t>
            </w:r>
            <w:r w:rsidR="002119A9">
              <w:rPr>
                <w:b/>
                <w:bCs/>
                <w:strike/>
                <w:color w:val="auto"/>
              </w:rPr>
              <w:t xml:space="preserve"> </w:t>
            </w:r>
            <w:r w:rsidR="002119A9" w:rsidRPr="002119A9">
              <w:rPr>
                <w:b/>
                <w:bCs/>
                <w:color w:val="auto"/>
                <w:u w:val="single"/>
              </w:rPr>
              <w:t>provide for incentives to</w:t>
            </w:r>
            <w:r w:rsidR="002119A9">
              <w:rPr>
                <w:color w:val="auto"/>
              </w:rPr>
              <w:t xml:space="preserve"> </w:t>
            </w:r>
            <w:r w:rsidR="002119A9" w:rsidRPr="002119A9">
              <w:rPr>
                <w:color w:val="auto"/>
              </w:rPr>
              <w:t>transmission and distribution network operators to</w:t>
            </w:r>
            <w:r w:rsidR="002119A9">
              <w:t xml:space="preserve"> </w:t>
            </w:r>
            <w:r w:rsidR="002119A9" w:rsidRPr="002119A9">
              <w:rPr>
                <w:b/>
                <w:bCs/>
                <w:color w:val="auto"/>
                <w:u w:val="single"/>
              </w:rPr>
              <w:t>optimise networks where it is</w:t>
            </w:r>
          </w:p>
          <w:p w14:paraId="10BFC3AF" w14:textId="482ABDF1" w:rsidR="002119A9" w:rsidRPr="002119A9" w:rsidRDefault="002119A9" w:rsidP="002119A9">
            <w:pPr>
              <w:rPr>
                <w:color w:val="auto"/>
              </w:rPr>
            </w:pPr>
            <w:r w:rsidRPr="002119A9">
              <w:rPr>
                <w:b/>
                <w:bCs/>
                <w:color w:val="auto"/>
                <w:u w:val="single"/>
              </w:rPr>
              <w:t>technically and financially feasible</w:t>
            </w:r>
            <w:r w:rsidRPr="002119A9">
              <w:rPr>
                <w:color w:val="auto"/>
              </w:rPr>
              <w:t xml:space="preserve"> </w:t>
            </w:r>
            <w:r w:rsidRPr="002119A9">
              <w:rPr>
                <w:b/>
                <w:bCs/>
                <w:strike/>
                <w:color w:val="auto"/>
              </w:rPr>
              <w:t>recover avoidable network losses from tariffs paid by consumers</w:t>
            </w:r>
            <w:r w:rsidRPr="002119A9">
              <w:rPr>
                <w:color w:val="auto"/>
              </w:rPr>
              <w:t>. Member States shall ensure that transmission and</w:t>
            </w:r>
            <w:r>
              <w:rPr>
                <w:color w:val="auto"/>
              </w:rPr>
              <w:t xml:space="preserve"> </w:t>
            </w:r>
            <w:r w:rsidRPr="002119A9">
              <w:rPr>
                <w:color w:val="auto"/>
              </w:rPr>
              <w:t>distribution system operators assess energy efficiency</w:t>
            </w:r>
            <w:r>
              <w:rPr>
                <w:color w:val="auto"/>
              </w:rPr>
              <w:t xml:space="preserve"> </w:t>
            </w:r>
            <w:r w:rsidRPr="002119A9">
              <w:rPr>
                <w:color w:val="auto"/>
              </w:rPr>
              <w:t xml:space="preserve">improvement measures with regard to </w:t>
            </w:r>
            <w:proofErr w:type="gramStart"/>
            <w:r w:rsidRPr="002119A9">
              <w:rPr>
                <w:color w:val="auto"/>
              </w:rPr>
              <w:t>their</w:t>
            </w:r>
            <w:proofErr w:type="gramEnd"/>
          </w:p>
          <w:p w14:paraId="72C6B5EA" w14:textId="1006796D" w:rsidR="00442ABA" w:rsidRPr="002119A9" w:rsidRDefault="002119A9" w:rsidP="002119A9">
            <w:pPr>
              <w:rPr>
                <w:color w:val="auto"/>
              </w:rPr>
            </w:pPr>
            <w:r w:rsidRPr="002119A9">
              <w:rPr>
                <w:color w:val="auto"/>
              </w:rPr>
              <w:lastRenderedPageBreak/>
              <w:t>existing gas or electricity transmission or distribution systems and improve energy efficiency infrastructure design and operation.</w:t>
            </w:r>
            <w:r>
              <w:rPr>
                <w:color w:val="auto"/>
              </w:rPr>
              <w:t xml:space="preserve"> </w:t>
            </w:r>
            <w:r w:rsidRPr="0072162B">
              <w:rPr>
                <w:color w:val="auto"/>
              </w:rPr>
              <w:t>Member States shall encourage transmission and distribution network operators to develop innovative solutions to improve the energy efficiency of existing systems through incentive-based regulations</w:t>
            </w:r>
            <w:r>
              <w:rPr>
                <w:color w:val="auto"/>
              </w:rPr>
              <w:t xml:space="preserve"> </w:t>
            </w:r>
            <w:r w:rsidRPr="00C22132">
              <w:rPr>
                <w:b/>
                <w:bCs/>
                <w:color w:val="auto"/>
                <w:u w:val="single"/>
              </w:rPr>
              <w:t>in compliance with the tariff principles set out in</w:t>
            </w:r>
            <w:r w:rsidRPr="00C22132">
              <w:rPr>
                <w:b/>
                <w:bCs/>
                <w:color w:val="auto"/>
                <w:u w:val="single"/>
              </w:rPr>
              <w:t xml:space="preserve"> </w:t>
            </w:r>
            <w:r w:rsidRPr="00C22132">
              <w:rPr>
                <w:b/>
                <w:bCs/>
                <w:color w:val="auto"/>
                <w:u w:val="single"/>
              </w:rPr>
              <w:t>Article 18 of Regulation (EU) 2019/943 and Article 13 of Regulation (EU) 715/2009</w:t>
            </w:r>
            <w:r>
              <w:rPr>
                <w:color w:val="auto"/>
              </w:rPr>
              <w:t>.</w:t>
            </w:r>
          </w:p>
        </w:tc>
      </w:tr>
    </w:tbl>
    <w:p w14:paraId="737A5941" w14:textId="022E3A5C" w:rsidR="00171938" w:rsidRDefault="00171938" w:rsidP="00171938">
      <w:pPr>
        <w:pStyle w:val="NoSpacing"/>
        <w:jc w:val="both"/>
        <w:rPr>
          <w:i/>
          <w:iCs/>
          <w:lang w:val="en-GB"/>
        </w:rPr>
      </w:pPr>
    </w:p>
    <w:p w14:paraId="42818E99" w14:textId="77777777" w:rsidR="00610895" w:rsidRPr="006875BF" w:rsidRDefault="00610895" w:rsidP="00171938">
      <w:pPr>
        <w:pStyle w:val="NoSpacing"/>
        <w:jc w:val="both"/>
        <w:rPr>
          <w:i/>
          <w:iCs/>
          <w:lang w:val="en-GB"/>
        </w:rPr>
      </w:pPr>
    </w:p>
    <w:p w14:paraId="1136836D" w14:textId="735CB55A" w:rsidR="002476ED" w:rsidRDefault="002476ED" w:rsidP="00171938">
      <w:pPr>
        <w:pStyle w:val="NoSpacing"/>
        <w:jc w:val="both"/>
        <w:rPr>
          <w:lang w:val="en-GB"/>
        </w:rPr>
      </w:pPr>
    </w:p>
    <w:p w14:paraId="46A625D8" w14:textId="7F485FBE" w:rsidR="002476ED" w:rsidRDefault="00FE4724" w:rsidP="00953477">
      <w:pPr>
        <w:pStyle w:val="NoSpacing"/>
        <w:jc w:val="center"/>
        <w:rPr>
          <w:b/>
          <w:bCs/>
          <w:color w:val="002060"/>
        </w:rPr>
      </w:pPr>
      <w:r w:rsidRPr="00FE4724">
        <w:rPr>
          <w:b/>
          <w:bCs/>
          <w:color w:val="002060"/>
        </w:rPr>
        <w:t xml:space="preserve">Article 25 (7) – Energy transformation, </w:t>
      </w:r>
      <w:proofErr w:type="gramStart"/>
      <w:r w:rsidRPr="00FE4724">
        <w:rPr>
          <w:b/>
          <w:bCs/>
          <w:color w:val="002060"/>
        </w:rPr>
        <w:t>transmission</w:t>
      </w:r>
      <w:proofErr w:type="gramEnd"/>
      <w:r w:rsidRPr="00FE4724">
        <w:rPr>
          <w:b/>
          <w:bCs/>
          <w:color w:val="002060"/>
        </w:rPr>
        <w:t xml:space="preserve"> and distribution</w:t>
      </w:r>
    </w:p>
    <w:p w14:paraId="168DFCE7" w14:textId="77777777" w:rsidR="00610895" w:rsidRPr="00FE4724" w:rsidRDefault="00610895" w:rsidP="00171938">
      <w:pPr>
        <w:pStyle w:val="NoSpacing"/>
        <w:jc w:val="both"/>
        <w:rPr>
          <w:color w:val="002060"/>
          <w:lang w:val="en-GB"/>
        </w:rPr>
      </w:pPr>
    </w:p>
    <w:tbl>
      <w:tblPr>
        <w:tblStyle w:val="TableGrid"/>
        <w:tblW w:w="12330" w:type="dxa"/>
        <w:jc w:val="center"/>
        <w:tblLayout w:type="fixed"/>
        <w:tblLook w:val="04A0" w:firstRow="1" w:lastRow="0" w:firstColumn="1" w:lastColumn="0" w:noHBand="0" w:noVBand="1"/>
      </w:tblPr>
      <w:tblGrid>
        <w:gridCol w:w="4110"/>
        <w:gridCol w:w="4110"/>
        <w:gridCol w:w="4110"/>
      </w:tblGrid>
      <w:tr w:rsidR="00095CF1" w:rsidRPr="002476ED" w14:paraId="23BCE649" w14:textId="6D2ADFBE" w:rsidTr="00095CF1">
        <w:trPr>
          <w:jc w:val="center"/>
        </w:trPr>
        <w:tc>
          <w:tcPr>
            <w:tcW w:w="4110" w:type="dxa"/>
          </w:tcPr>
          <w:p w14:paraId="74A3A85B" w14:textId="77777777" w:rsidR="00095CF1" w:rsidRPr="002476ED" w:rsidRDefault="00095CF1" w:rsidP="00CC053C">
            <w:pPr>
              <w:jc w:val="center"/>
              <w:rPr>
                <w:rFonts w:eastAsia="Arial" w:cs="Arial"/>
                <w:b/>
                <w:bCs/>
                <w:color w:val="auto"/>
              </w:rPr>
            </w:pPr>
            <w:r w:rsidRPr="002476ED">
              <w:rPr>
                <w:b/>
                <w:bCs/>
                <w:color w:val="auto"/>
              </w:rPr>
              <w:t xml:space="preserve">European Commission </w:t>
            </w:r>
          </w:p>
        </w:tc>
        <w:tc>
          <w:tcPr>
            <w:tcW w:w="4110" w:type="dxa"/>
          </w:tcPr>
          <w:p w14:paraId="457E923C" w14:textId="7C73D843" w:rsidR="00095CF1" w:rsidRPr="002476ED" w:rsidRDefault="00095CF1" w:rsidP="00CC053C">
            <w:pPr>
              <w:jc w:val="center"/>
              <w:rPr>
                <w:rFonts w:eastAsia="Arial" w:cs="Arial"/>
                <w:b/>
                <w:bCs/>
                <w:color w:val="auto"/>
              </w:rPr>
            </w:pPr>
            <w:r>
              <w:rPr>
                <w:b/>
                <w:bCs/>
                <w:color w:val="auto"/>
              </w:rPr>
              <w:t>GEODE</w:t>
            </w:r>
            <w:r w:rsidRPr="002476ED">
              <w:rPr>
                <w:b/>
                <w:bCs/>
                <w:color w:val="auto"/>
              </w:rPr>
              <w:t xml:space="preserve"> </w:t>
            </w:r>
          </w:p>
        </w:tc>
        <w:tc>
          <w:tcPr>
            <w:tcW w:w="4110" w:type="dxa"/>
          </w:tcPr>
          <w:p w14:paraId="20D66779" w14:textId="138B0FEE" w:rsidR="00095CF1" w:rsidRPr="00095CF1" w:rsidRDefault="00095CF1" w:rsidP="00CC053C">
            <w:pPr>
              <w:jc w:val="center"/>
              <w:rPr>
                <w:b/>
                <w:bCs/>
                <w:color w:val="auto"/>
              </w:rPr>
            </w:pPr>
            <w:r w:rsidRPr="00095CF1">
              <w:rPr>
                <w:b/>
                <w:bCs/>
                <w:color w:val="auto"/>
              </w:rPr>
              <w:t>COUNCIL</w:t>
            </w:r>
          </w:p>
        </w:tc>
      </w:tr>
      <w:tr w:rsidR="00095CF1" w:rsidRPr="002476ED" w14:paraId="717AC11B" w14:textId="72330458" w:rsidTr="00095CF1">
        <w:trPr>
          <w:jc w:val="center"/>
        </w:trPr>
        <w:tc>
          <w:tcPr>
            <w:tcW w:w="4110" w:type="dxa"/>
          </w:tcPr>
          <w:p w14:paraId="1461B214" w14:textId="77777777" w:rsidR="00095CF1" w:rsidRPr="002476ED" w:rsidRDefault="00095CF1" w:rsidP="00CC053C">
            <w:pPr>
              <w:rPr>
                <w:color w:val="auto"/>
              </w:rPr>
            </w:pPr>
            <w:r w:rsidRPr="002476ED">
              <w:rPr>
                <w:color w:val="auto"/>
              </w:rPr>
              <w:t>(</w:t>
            </w:r>
            <w:r w:rsidRPr="002476ED">
              <w:rPr>
                <w:color w:val="auto"/>
                <w:u w:val="single"/>
              </w:rPr>
              <w:t>7</w:t>
            </w:r>
            <w:r w:rsidRPr="002476ED">
              <w:rPr>
                <w:strike/>
                <w:color w:val="auto"/>
                <w:u w:val="single"/>
              </w:rPr>
              <w:t>4</w:t>
            </w:r>
            <w:r w:rsidRPr="002476ED">
              <w:rPr>
                <w:color w:val="auto"/>
              </w:rPr>
              <w:t xml:space="preserve">) </w:t>
            </w:r>
            <w:r w:rsidRPr="002476ED">
              <w:rPr>
                <w:rStyle w:val="crrefontedeleted"/>
                <w:strike/>
                <w:color w:val="auto"/>
                <w:shd w:val="clear" w:color="auto" w:fill="CCCCCC"/>
              </w:rPr>
              <w:t>Member States</w:t>
            </w:r>
            <w:r w:rsidRPr="002476ED">
              <w:rPr>
                <w:color w:val="auto"/>
                <w:shd w:val="clear" w:color="auto" w:fill="FFFFFF"/>
              </w:rPr>
              <w:t> </w:t>
            </w:r>
            <w:r w:rsidRPr="002476ED">
              <w:rPr>
                <w:rStyle w:val="crmarker"/>
                <w:rFonts w:ascii="Cambria Math" w:hAnsi="Cambria Math"/>
                <w:color w:val="auto"/>
                <w:shd w:val="clear" w:color="auto" w:fill="FFFFFF"/>
              </w:rPr>
              <w:t>⇨</w:t>
            </w:r>
            <w:r w:rsidRPr="002476ED">
              <w:rPr>
                <w:color w:val="auto"/>
                <w:shd w:val="clear" w:color="auto" w:fill="FFFFFF"/>
              </w:rPr>
              <w:t> National regulatory authorities </w:t>
            </w:r>
            <w:r w:rsidRPr="002476ED">
              <w:rPr>
                <w:rStyle w:val="crmarker"/>
                <w:rFonts w:ascii="Cambria Math" w:hAnsi="Cambria Math"/>
                <w:color w:val="auto"/>
                <w:shd w:val="clear" w:color="auto" w:fill="FFFFFF"/>
              </w:rPr>
              <w:t>⇦</w:t>
            </w:r>
            <w:r w:rsidRPr="002476ED">
              <w:rPr>
                <w:color w:val="auto"/>
                <w:shd w:val="clear" w:color="auto" w:fill="FFFFFF"/>
              </w:rPr>
              <w:t> shall ensure the removal of those incentives in transmission and distribution tariffs that are detrimental to the </w:t>
            </w:r>
            <w:r w:rsidRPr="002476ED">
              <w:rPr>
                <w:rStyle w:val="crrefontedeleted"/>
                <w:strike/>
                <w:color w:val="auto"/>
                <w:shd w:val="clear" w:color="auto" w:fill="CCCCCC"/>
              </w:rPr>
              <w:t>overall efficiency (including</w:t>
            </w:r>
            <w:r w:rsidRPr="002476ED">
              <w:rPr>
                <w:color w:val="auto"/>
                <w:shd w:val="clear" w:color="auto" w:fill="FFFFFF"/>
              </w:rPr>
              <w:t> energy efficiency</w:t>
            </w:r>
            <w:r w:rsidRPr="002476ED">
              <w:rPr>
                <w:rStyle w:val="crminorchangedeleted"/>
                <w:strike/>
                <w:color w:val="auto"/>
                <w:u w:val="single"/>
                <w:shd w:val="clear" w:color="auto" w:fill="FFFFFF"/>
              </w:rPr>
              <w:t>)</w:t>
            </w:r>
            <w:r w:rsidRPr="002476ED">
              <w:rPr>
                <w:color w:val="auto"/>
                <w:shd w:val="clear" w:color="auto" w:fill="FFFFFF"/>
              </w:rPr>
              <w:t xml:space="preserve"> of the generation, transmission, </w:t>
            </w:r>
            <w:proofErr w:type="gramStart"/>
            <w:r w:rsidRPr="002476ED">
              <w:rPr>
                <w:color w:val="auto"/>
                <w:shd w:val="clear" w:color="auto" w:fill="FFFFFF"/>
              </w:rPr>
              <w:t>distribution</w:t>
            </w:r>
            <w:proofErr w:type="gramEnd"/>
            <w:r w:rsidRPr="002476ED">
              <w:rPr>
                <w:color w:val="auto"/>
                <w:shd w:val="clear" w:color="auto" w:fill="FFFFFF"/>
              </w:rPr>
              <w:t xml:space="preserve"> and supply of electricity </w:t>
            </w:r>
            <w:r w:rsidRPr="002476ED">
              <w:rPr>
                <w:rStyle w:val="crmarker"/>
                <w:rFonts w:ascii="Cambria Math" w:hAnsi="Cambria Math"/>
                <w:color w:val="auto"/>
                <w:shd w:val="clear" w:color="auto" w:fill="FFFFFF"/>
              </w:rPr>
              <w:t>⇨</w:t>
            </w:r>
            <w:r w:rsidRPr="002476ED">
              <w:rPr>
                <w:color w:val="auto"/>
                <w:shd w:val="clear" w:color="auto" w:fill="FFFFFF"/>
              </w:rPr>
              <w:t> and gas </w:t>
            </w:r>
            <w:r w:rsidRPr="002476ED">
              <w:rPr>
                <w:rStyle w:val="crmarker"/>
                <w:rFonts w:ascii="Cambria Math" w:hAnsi="Cambria Math"/>
                <w:color w:val="auto"/>
                <w:shd w:val="clear" w:color="auto" w:fill="FFFFFF"/>
              </w:rPr>
              <w:t>⇦</w:t>
            </w:r>
            <w:r w:rsidRPr="002476ED">
              <w:rPr>
                <w:color w:val="auto"/>
                <w:shd w:val="clear" w:color="auto" w:fill="FFFFFF"/>
              </w:rPr>
              <w:t> </w:t>
            </w:r>
            <w:r w:rsidRPr="002476ED">
              <w:rPr>
                <w:rStyle w:val="crrefontedeleted"/>
                <w:strike/>
                <w:color w:val="auto"/>
                <w:shd w:val="clear" w:color="auto" w:fill="CCCCCC"/>
              </w:rPr>
              <w:t>or those that might hamper participation of demand response, in balancing markets and ancillary services procurement. Member States shall ensure that network operators are incentivised to improve efficiency in infrastructure design and operation, and, within the framework of Directive (EU) 2019/9442009/72/EC, that tariffs allow suppliers to improve consumer participation in system efficiency, including demand response, depending on national circumstances</w:t>
            </w:r>
            <w:r w:rsidRPr="002476ED">
              <w:rPr>
                <w:color w:val="auto"/>
                <w:shd w:val="clear" w:color="auto" w:fill="FFFFFF"/>
              </w:rPr>
              <w:t>.</w:t>
            </w:r>
          </w:p>
        </w:tc>
        <w:tc>
          <w:tcPr>
            <w:tcW w:w="4110" w:type="dxa"/>
          </w:tcPr>
          <w:p w14:paraId="352542A7" w14:textId="77777777" w:rsidR="00095CF1" w:rsidRPr="002476ED" w:rsidRDefault="00095CF1" w:rsidP="00CC053C">
            <w:pPr>
              <w:rPr>
                <w:color w:val="auto"/>
              </w:rPr>
            </w:pPr>
            <w:r w:rsidRPr="002476ED">
              <w:rPr>
                <w:color w:val="auto"/>
              </w:rPr>
              <w:t>(</w:t>
            </w:r>
            <w:r w:rsidRPr="002476ED">
              <w:rPr>
                <w:color w:val="auto"/>
                <w:u w:val="single"/>
              </w:rPr>
              <w:t>7</w:t>
            </w:r>
            <w:r w:rsidRPr="002476ED">
              <w:rPr>
                <w:strike/>
                <w:color w:val="auto"/>
                <w:u w:val="single"/>
              </w:rPr>
              <w:t>4</w:t>
            </w:r>
            <w:r w:rsidRPr="002476ED">
              <w:rPr>
                <w:color w:val="auto"/>
              </w:rPr>
              <w:t xml:space="preserve">) </w:t>
            </w:r>
            <w:r w:rsidRPr="002476ED">
              <w:rPr>
                <w:rStyle w:val="crrefontedeleted"/>
                <w:strike/>
                <w:color w:val="auto"/>
                <w:shd w:val="clear" w:color="auto" w:fill="CCCCCC"/>
              </w:rPr>
              <w:t>Member States</w:t>
            </w:r>
            <w:r w:rsidRPr="002476ED">
              <w:rPr>
                <w:color w:val="auto"/>
                <w:shd w:val="clear" w:color="auto" w:fill="FFFFFF"/>
              </w:rPr>
              <w:t> </w:t>
            </w:r>
            <w:r w:rsidRPr="002476ED">
              <w:rPr>
                <w:rStyle w:val="crmarker"/>
                <w:rFonts w:ascii="Cambria Math" w:hAnsi="Cambria Math"/>
                <w:color w:val="auto"/>
                <w:shd w:val="clear" w:color="auto" w:fill="FFFFFF"/>
              </w:rPr>
              <w:t>⇨</w:t>
            </w:r>
            <w:r w:rsidRPr="002476ED">
              <w:rPr>
                <w:color w:val="auto"/>
                <w:shd w:val="clear" w:color="auto" w:fill="FFFFFF"/>
              </w:rPr>
              <w:t> National regulatory authorities </w:t>
            </w:r>
            <w:r w:rsidRPr="002476ED">
              <w:rPr>
                <w:rStyle w:val="crmarker"/>
                <w:rFonts w:ascii="Cambria Math" w:hAnsi="Cambria Math"/>
                <w:color w:val="auto"/>
                <w:shd w:val="clear" w:color="auto" w:fill="FFFFFF"/>
              </w:rPr>
              <w:t>⇦</w:t>
            </w:r>
            <w:r w:rsidRPr="002476ED">
              <w:rPr>
                <w:color w:val="auto"/>
                <w:shd w:val="clear" w:color="auto" w:fill="FFFFFF"/>
              </w:rPr>
              <w:t> shall ensure the removal of those incentives in transmission and distribution tariffs that are detrimental to the </w:t>
            </w:r>
            <w:r w:rsidRPr="002476ED">
              <w:rPr>
                <w:b/>
                <w:i/>
                <w:color w:val="auto"/>
                <w:u w:val="single"/>
              </w:rPr>
              <w:t>overall efficiency</w:t>
            </w:r>
            <w:r w:rsidRPr="002476ED">
              <w:rPr>
                <w:rStyle w:val="crrefontedeleted"/>
                <w:b/>
                <w:strike/>
                <w:color w:val="auto"/>
                <w:u w:val="single"/>
                <w:shd w:val="clear" w:color="auto" w:fill="CCCCCC"/>
              </w:rPr>
              <w:t xml:space="preserve"> (including</w:t>
            </w:r>
            <w:r w:rsidRPr="002476ED">
              <w:rPr>
                <w:color w:val="auto"/>
                <w:shd w:val="clear" w:color="auto" w:fill="FFFFFF"/>
              </w:rPr>
              <w:t> </w:t>
            </w:r>
            <w:r w:rsidRPr="002476ED">
              <w:rPr>
                <w:b/>
                <w:i/>
                <w:strike/>
                <w:color w:val="auto"/>
                <w:u w:val="single"/>
                <w:shd w:val="clear" w:color="auto" w:fill="FFFFFF"/>
              </w:rPr>
              <w:t>energy efficiency</w:t>
            </w:r>
            <w:r w:rsidRPr="002476ED">
              <w:rPr>
                <w:rStyle w:val="crminorchangedeleted"/>
                <w:b/>
                <w:i/>
                <w:strike/>
                <w:color w:val="auto"/>
                <w:u w:val="single"/>
                <w:shd w:val="clear" w:color="auto" w:fill="FFFFFF"/>
              </w:rPr>
              <w:t>)</w:t>
            </w:r>
            <w:r w:rsidRPr="002476ED">
              <w:rPr>
                <w:color w:val="auto"/>
                <w:shd w:val="clear" w:color="auto" w:fill="FFFFFF"/>
              </w:rPr>
              <w:t xml:space="preserve"> of the generation, transmission, </w:t>
            </w:r>
            <w:proofErr w:type="gramStart"/>
            <w:r w:rsidRPr="002476ED">
              <w:rPr>
                <w:color w:val="auto"/>
                <w:shd w:val="clear" w:color="auto" w:fill="FFFFFF"/>
              </w:rPr>
              <w:t>distribution</w:t>
            </w:r>
            <w:proofErr w:type="gramEnd"/>
            <w:r w:rsidRPr="002476ED">
              <w:rPr>
                <w:color w:val="auto"/>
                <w:shd w:val="clear" w:color="auto" w:fill="FFFFFF"/>
              </w:rPr>
              <w:t xml:space="preserve"> and supply of electricity </w:t>
            </w:r>
            <w:r w:rsidRPr="002476ED">
              <w:rPr>
                <w:rStyle w:val="crmarker"/>
                <w:rFonts w:ascii="Cambria Math" w:hAnsi="Cambria Math"/>
                <w:color w:val="auto"/>
                <w:shd w:val="clear" w:color="auto" w:fill="FFFFFF"/>
              </w:rPr>
              <w:t>⇨</w:t>
            </w:r>
            <w:r w:rsidRPr="002476ED">
              <w:rPr>
                <w:color w:val="auto"/>
                <w:shd w:val="clear" w:color="auto" w:fill="FFFFFF"/>
              </w:rPr>
              <w:t> and gas </w:t>
            </w:r>
            <w:r w:rsidRPr="002476ED">
              <w:rPr>
                <w:rStyle w:val="crmarker"/>
                <w:rFonts w:ascii="Cambria Math" w:hAnsi="Cambria Math"/>
                <w:color w:val="auto"/>
                <w:shd w:val="clear" w:color="auto" w:fill="FFFFFF"/>
              </w:rPr>
              <w:t>⇦</w:t>
            </w:r>
            <w:r w:rsidRPr="002476ED">
              <w:rPr>
                <w:color w:val="auto"/>
                <w:shd w:val="clear" w:color="auto" w:fill="FFFFFF"/>
              </w:rPr>
              <w:t> </w:t>
            </w:r>
            <w:r w:rsidRPr="002476ED">
              <w:rPr>
                <w:rStyle w:val="crrefontedeleted"/>
                <w:strike/>
                <w:color w:val="auto"/>
                <w:shd w:val="clear" w:color="auto" w:fill="CCCCCC"/>
              </w:rPr>
              <w:t>or those that might hamper participation of demand response, in balancing markets and ancillary services procurement.</w:t>
            </w:r>
            <w:r w:rsidRPr="002476ED">
              <w:rPr>
                <w:strike/>
                <w:color w:val="auto"/>
              </w:rPr>
              <w:t xml:space="preserve"> Member States shall ensure that network operators are incentivised to improve efficiency in infrastructure design and operation, and, within the framework of Directive (EU) 2019/9442009/72/EC, that tariffs allow suppliers to improve consumer participation in system efficiency, including demand response, depending on national circumstances.</w:t>
            </w:r>
          </w:p>
        </w:tc>
        <w:tc>
          <w:tcPr>
            <w:tcW w:w="4110" w:type="dxa"/>
          </w:tcPr>
          <w:p w14:paraId="2A3AA752" w14:textId="69B7B04F" w:rsidR="00095CF1" w:rsidRPr="002476ED" w:rsidRDefault="00710E8A" w:rsidP="00CC053C">
            <w:pPr>
              <w:rPr>
                <w:rFonts w:eastAsia="Arial" w:cs="Arial"/>
                <w:color w:val="auto"/>
              </w:rPr>
            </w:pPr>
            <w:r w:rsidRPr="002476ED">
              <w:rPr>
                <w:color w:val="auto"/>
                <w:u w:val="single"/>
              </w:rPr>
              <w:t>7</w:t>
            </w:r>
            <w:r w:rsidRPr="002476ED">
              <w:rPr>
                <w:strike/>
                <w:color w:val="auto"/>
                <w:u w:val="single"/>
              </w:rPr>
              <w:t>4</w:t>
            </w:r>
            <w:r w:rsidRPr="002476ED">
              <w:rPr>
                <w:color w:val="auto"/>
              </w:rPr>
              <w:t xml:space="preserve">) </w:t>
            </w:r>
            <w:r w:rsidRPr="002476ED">
              <w:rPr>
                <w:rStyle w:val="crrefontedeleted"/>
                <w:strike/>
                <w:color w:val="auto"/>
                <w:shd w:val="clear" w:color="auto" w:fill="CCCCCC"/>
              </w:rPr>
              <w:t>Member States</w:t>
            </w:r>
            <w:r w:rsidRPr="002476ED">
              <w:rPr>
                <w:color w:val="auto"/>
                <w:shd w:val="clear" w:color="auto" w:fill="FFFFFF"/>
              </w:rPr>
              <w:t> </w:t>
            </w:r>
            <w:r w:rsidRPr="002476ED">
              <w:rPr>
                <w:rStyle w:val="crmarker"/>
                <w:rFonts w:ascii="Cambria Math" w:hAnsi="Cambria Math"/>
                <w:color w:val="auto"/>
                <w:shd w:val="clear" w:color="auto" w:fill="FFFFFF"/>
              </w:rPr>
              <w:t>⇨</w:t>
            </w:r>
            <w:r w:rsidRPr="002476ED">
              <w:rPr>
                <w:color w:val="auto"/>
                <w:shd w:val="clear" w:color="auto" w:fill="FFFFFF"/>
              </w:rPr>
              <w:t> National regulatory authorities </w:t>
            </w:r>
            <w:r w:rsidRPr="002476ED">
              <w:rPr>
                <w:rStyle w:val="crmarker"/>
                <w:rFonts w:ascii="Cambria Math" w:hAnsi="Cambria Math"/>
                <w:color w:val="auto"/>
                <w:shd w:val="clear" w:color="auto" w:fill="FFFFFF"/>
              </w:rPr>
              <w:t>⇦</w:t>
            </w:r>
            <w:r w:rsidRPr="002476ED">
              <w:rPr>
                <w:color w:val="auto"/>
                <w:shd w:val="clear" w:color="auto" w:fill="FFFFFF"/>
              </w:rPr>
              <w:t> shall ensure the removal of those incentives in transmission and distribution tariffs that are detrimental to the </w:t>
            </w:r>
            <w:r w:rsidRPr="002476ED">
              <w:rPr>
                <w:rStyle w:val="crrefontedeleted"/>
                <w:strike/>
                <w:color w:val="auto"/>
                <w:shd w:val="clear" w:color="auto" w:fill="CCCCCC"/>
              </w:rPr>
              <w:t>overall efficiency (including</w:t>
            </w:r>
            <w:r w:rsidRPr="002476ED">
              <w:rPr>
                <w:color w:val="auto"/>
                <w:shd w:val="clear" w:color="auto" w:fill="FFFFFF"/>
              </w:rPr>
              <w:t> energy efficiency</w:t>
            </w:r>
            <w:r w:rsidRPr="002476ED">
              <w:rPr>
                <w:rStyle w:val="crminorchangedeleted"/>
                <w:strike/>
                <w:color w:val="auto"/>
                <w:u w:val="single"/>
                <w:shd w:val="clear" w:color="auto" w:fill="FFFFFF"/>
              </w:rPr>
              <w:t>)</w:t>
            </w:r>
            <w:r w:rsidRPr="002476ED">
              <w:rPr>
                <w:color w:val="auto"/>
                <w:shd w:val="clear" w:color="auto" w:fill="FFFFFF"/>
              </w:rPr>
              <w:t xml:space="preserve"> of the generation, transmission, </w:t>
            </w:r>
            <w:proofErr w:type="gramStart"/>
            <w:r w:rsidRPr="002476ED">
              <w:rPr>
                <w:color w:val="auto"/>
                <w:shd w:val="clear" w:color="auto" w:fill="FFFFFF"/>
              </w:rPr>
              <w:t>distribution</w:t>
            </w:r>
            <w:proofErr w:type="gramEnd"/>
            <w:r w:rsidRPr="002476ED">
              <w:rPr>
                <w:color w:val="auto"/>
                <w:shd w:val="clear" w:color="auto" w:fill="FFFFFF"/>
              </w:rPr>
              <w:t xml:space="preserve"> and supply of electricity </w:t>
            </w:r>
            <w:r w:rsidRPr="002476ED">
              <w:rPr>
                <w:rStyle w:val="crmarker"/>
                <w:rFonts w:ascii="Cambria Math" w:hAnsi="Cambria Math"/>
                <w:color w:val="auto"/>
                <w:shd w:val="clear" w:color="auto" w:fill="FFFFFF"/>
              </w:rPr>
              <w:t>⇨</w:t>
            </w:r>
            <w:r w:rsidRPr="002476ED">
              <w:rPr>
                <w:color w:val="auto"/>
                <w:shd w:val="clear" w:color="auto" w:fill="FFFFFF"/>
              </w:rPr>
              <w:t> and gas </w:t>
            </w:r>
            <w:r w:rsidRPr="002476ED">
              <w:rPr>
                <w:rStyle w:val="crmarker"/>
                <w:rFonts w:ascii="Cambria Math" w:hAnsi="Cambria Math"/>
                <w:color w:val="auto"/>
                <w:shd w:val="clear" w:color="auto" w:fill="FFFFFF"/>
              </w:rPr>
              <w:t>⇦</w:t>
            </w:r>
            <w:r>
              <w:rPr>
                <w:rStyle w:val="crmarker"/>
                <w:rFonts w:ascii="Cambria Math" w:hAnsi="Cambria Math"/>
                <w:color w:val="auto"/>
                <w:shd w:val="clear" w:color="auto" w:fill="FFFFFF"/>
              </w:rPr>
              <w:t>.</w:t>
            </w:r>
            <w:r w:rsidRPr="002476ED">
              <w:rPr>
                <w:color w:val="auto"/>
                <w:shd w:val="clear" w:color="auto" w:fill="FFFFFF"/>
              </w:rPr>
              <w:t> </w:t>
            </w:r>
            <w:r w:rsidRPr="002476ED">
              <w:rPr>
                <w:rStyle w:val="crrefontedeleted"/>
                <w:strike/>
                <w:color w:val="auto"/>
                <w:shd w:val="clear" w:color="auto" w:fill="CCCCCC"/>
              </w:rPr>
              <w:t>or those that might hamper participation of demand response, in balancing markets and ancillary services procurement. Member States shall ensure that network operators are incentivised to improve efficiency in infrastructure design and operation, and, within the framework of Directive (EU) 2019/9442009/72/EC, that tariffs allow suppliers to improve consumer participation in system efficiency, including demand response, depending on national circumstances</w:t>
            </w:r>
            <w:r w:rsidRPr="002476ED">
              <w:rPr>
                <w:color w:val="auto"/>
                <w:shd w:val="clear" w:color="auto" w:fill="FFFFFF"/>
              </w:rPr>
              <w:t>.</w:t>
            </w:r>
          </w:p>
        </w:tc>
      </w:tr>
    </w:tbl>
    <w:p w14:paraId="7062ED4C" w14:textId="6C6DD31A" w:rsidR="002476ED" w:rsidRDefault="002476ED" w:rsidP="00171938">
      <w:pPr>
        <w:pStyle w:val="NoSpacing"/>
        <w:jc w:val="both"/>
        <w:rPr>
          <w:lang w:val="en-GB"/>
        </w:rPr>
      </w:pPr>
    </w:p>
    <w:p w14:paraId="5DFE92DE" w14:textId="77777777" w:rsidR="00C86810" w:rsidRDefault="00C86810" w:rsidP="00FE4724">
      <w:pPr>
        <w:pStyle w:val="NoSpacing"/>
        <w:jc w:val="both"/>
        <w:rPr>
          <w:i/>
          <w:iCs/>
        </w:rPr>
      </w:pPr>
    </w:p>
    <w:sectPr w:rsidR="00C86810" w:rsidSect="003D0332">
      <w:headerReference w:type="even" r:id="rId10"/>
      <w:headerReference w:type="default" r:id="rId11"/>
      <w:footerReference w:type="even" r:id="rId12"/>
      <w:footerReference w:type="default" r:id="rId13"/>
      <w:headerReference w:type="first" r:id="rId14"/>
      <w:footerReference w:type="firs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9C4B7" w14:textId="77777777" w:rsidR="006A1DD0" w:rsidRDefault="006A1DD0" w:rsidP="00D80D33">
      <w:pPr>
        <w:spacing w:line="240" w:lineRule="auto"/>
      </w:pPr>
      <w:r>
        <w:separator/>
      </w:r>
    </w:p>
  </w:endnote>
  <w:endnote w:type="continuationSeparator" w:id="0">
    <w:p w14:paraId="47C9A563" w14:textId="77777777" w:rsidR="006A1DD0" w:rsidRDefault="006A1DD0" w:rsidP="00D80D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8E6FB" w14:textId="77777777" w:rsidR="00610895" w:rsidRDefault="006108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204286"/>
      <w:docPartObj>
        <w:docPartGallery w:val="Page Numbers (Bottom of Page)"/>
        <w:docPartUnique/>
      </w:docPartObj>
    </w:sdtPr>
    <w:sdtEndPr>
      <w:rPr>
        <w:noProof/>
      </w:rPr>
    </w:sdtEndPr>
    <w:sdtContent>
      <w:p w14:paraId="07E03BFF" w14:textId="4A70C4A3" w:rsidR="00FE4724" w:rsidRDefault="00FE47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11AA4F" w14:textId="77777777" w:rsidR="00FE4724" w:rsidRDefault="00FE47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74586" w14:textId="77777777" w:rsidR="00610895" w:rsidRDefault="006108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4E9D4" w14:textId="77777777" w:rsidR="006A1DD0" w:rsidRDefault="006A1DD0" w:rsidP="00D80D33">
      <w:pPr>
        <w:spacing w:line="240" w:lineRule="auto"/>
      </w:pPr>
      <w:r>
        <w:separator/>
      </w:r>
    </w:p>
  </w:footnote>
  <w:footnote w:type="continuationSeparator" w:id="0">
    <w:p w14:paraId="332D04C4" w14:textId="77777777" w:rsidR="006A1DD0" w:rsidRDefault="006A1DD0" w:rsidP="00D80D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5733" w14:textId="3A21D7A3" w:rsidR="00610895" w:rsidRDefault="006108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88C84" w14:textId="3F5A6A72" w:rsidR="00D80D33" w:rsidRDefault="00D80D33" w:rsidP="00D80D33">
    <w:pPr>
      <w:pStyle w:val="Header"/>
      <w:jc w:val="center"/>
    </w:pPr>
    <w:r>
      <w:rPr>
        <w:noProof/>
      </w:rPr>
      <w:drawing>
        <wp:inline distT="0" distB="0" distL="0" distR="0" wp14:anchorId="0389A6D5" wp14:editId="12FD5A6D">
          <wp:extent cx="1140106" cy="704072"/>
          <wp:effectExtent l="0" t="0" r="3175" b="127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2335" cy="71162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30856" w14:textId="6DB0FE8A" w:rsidR="00610895" w:rsidRDefault="006108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F0D73"/>
    <w:multiLevelType w:val="hybridMultilevel"/>
    <w:tmpl w:val="94DEB19A"/>
    <w:lvl w:ilvl="0" w:tplc="E8E662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E74261"/>
    <w:multiLevelType w:val="hybridMultilevel"/>
    <w:tmpl w:val="5378B594"/>
    <w:lvl w:ilvl="0" w:tplc="0486029C">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1AE15AA"/>
    <w:multiLevelType w:val="hybridMultilevel"/>
    <w:tmpl w:val="0E121866"/>
    <w:lvl w:ilvl="0" w:tplc="F48E93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21986925">
    <w:abstractNumId w:val="1"/>
  </w:num>
  <w:num w:numId="2" w16cid:durableId="84036223">
    <w:abstractNumId w:val="2"/>
  </w:num>
  <w:num w:numId="3" w16cid:durableId="1716077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938"/>
    <w:rsid w:val="00060A74"/>
    <w:rsid w:val="00090A70"/>
    <w:rsid w:val="00095CF1"/>
    <w:rsid w:val="00125402"/>
    <w:rsid w:val="00132EC9"/>
    <w:rsid w:val="00133A79"/>
    <w:rsid w:val="00171938"/>
    <w:rsid w:val="001743D9"/>
    <w:rsid w:val="001749E1"/>
    <w:rsid w:val="001A4CF1"/>
    <w:rsid w:val="001B09AE"/>
    <w:rsid w:val="001D0158"/>
    <w:rsid w:val="002119A9"/>
    <w:rsid w:val="00213E91"/>
    <w:rsid w:val="0023077C"/>
    <w:rsid w:val="00232842"/>
    <w:rsid w:val="0024346B"/>
    <w:rsid w:val="002476ED"/>
    <w:rsid w:val="002714B5"/>
    <w:rsid w:val="00287A0A"/>
    <w:rsid w:val="002D0128"/>
    <w:rsid w:val="00374FEE"/>
    <w:rsid w:val="003C228F"/>
    <w:rsid w:val="003D0332"/>
    <w:rsid w:val="003F5044"/>
    <w:rsid w:val="00442ABA"/>
    <w:rsid w:val="00475AF4"/>
    <w:rsid w:val="004820BD"/>
    <w:rsid w:val="004B3DAB"/>
    <w:rsid w:val="004E62E3"/>
    <w:rsid w:val="00533278"/>
    <w:rsid w:val="005338C1"/>
    <w:rsid w:val="00560360"/>
    <w:rsid w:val="0056418B"/>
    <w:rsid w:val="00575E90"/>
    <w:rsid w:val="0058794F"/>
    <w:rsid w:val="005A5677"/>
    <w:rsid w:val="00610585"/>
    <w:rsid w:val="00610895"/>
    <w:rsid w:val="00656992"/>
    <w:rsid w:val="006875BF"/>
    <w:rsid w:val="006A1DD0"/>
    <w:rsid w:val="006C7D1B"/>
    <w:rsid w:val="006F7679"/>
    <w:rsid w:val="00710E8A"/>
    <w:rsid w:val="0072162B"/>
    <w:rsid w:val="00741F29"/>
    <w:rsid w:val="00752C1D"/>
    <w:rsid w:val="00783B36"/>
    <w:rsid w:val="007A5107"/>
    <w:rsid w:val="007D640C"/>
    <w:rsid w:val="008178BF"/>
    <w:rsid w:val="00896403"/>
    <w:rsid w:val="008A0FE1"/>
    <w:rsid w:val="008A2036"/>
    <w:rsid w:val="008D2369"/>
    <w:rsid w:val="00953477"/>
    <w:rsid w:val="00995B17"/>
    <w:rsid w:val="009F1C61"/>
    <w:rsid w:val="00A23466"/>
    <w:rsid w:val="00A26EC1"/>
    <w:rsid w:val="00A458C1"/>
    <w:rsid w:val="00A60E5A"/>
    <w:rsid w:val="00B43382"/>
    <w:rsid w:val="00B607E9"/>
    <w:rsid w:val="00B75617"/>
    <w:rsid w:val="00B8120A"/>
    <w:rsid w:val="00BA22C5"/>
    <w:rsid w:val="00BC44E4"/>
    <w:rsid w:val="00C22132"/>
    <w:rsid w:val="00C24039"/>
    <w:rsid w:val="00C46EBF"/>
    <w:rsid w:val="00C61286"/>
    <w:rsid w:val="00C86810"/>
    <w:rsid w:val="00C87D73"/>
    <w:rsid w:val="00D61A1A"/>
    <w:rsid w:val="00D80D33"/>
    <w:rsid w:val="00DD79BA"/>
    <w:rsid w:val="00E11316"/>
    <w:rsid w:val="00E311B3"/>
    <w:rsid w:val="00E91485"/>
    <w:rsid w:val="00EA0D72"/>
    <w:rsid w:val="00EC7EEC"/>
    <w:rsid w:val="00EE6501"/>
    <w:rsid w:val="00F01013"/>
    <w:rsid w:val="00F01499"/>
    <w:rsid w:val="00F05921"/>
    <w:rsid w:val="00F15591"/>
    <w:rsid w:val="00F865EE"/>
    <w:rsid w:val="00F91BDD"/>
    <w:rsid w:val="00FE0AEE"/>
    <w:rsid w:val="00FE4724"/>
  </w:rsids>
  <m:mathPr>
    <m:mathFont m:val="Cambria Math"/>
    <m:brkBin m:val="before"/>
    <m:brkBinSub m:val="--"/>
    <m:smallFrac m:val="0"/>
    <m:dispDef/>
    <m:lMargin m:val="0"/>
    <m:rMargin m:val="0"/>
    <m:defJc m:val="centerGroup"/>
    <m:wrapIndent m:val="1440"/>
    <m:intLim m:val="subSup"/>
    <m:naryLim m:val="undOvr"/>
  </m:mathPr>
  <w:themeFontLang w:val="en-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7364E"/>
  <w15:chartTrackingRefBased/>
  <w15:docId w15:val="{E657A38C-BB21-42D3-9090-4F6704C69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938"/>
    <w:pPr>
      <w:spacing w:after="0" w:line="216" w:lineRule="exact"/>
    </w:pPr>
    <w:rPr>
      <w:rFonts w:ascii="Arial" w:eastAsia="Times New Roman" w:hAnsi="Arial" w:cs="Times New Roman"/>
      <w:color w:val="1E1D64"/>
      <w:spacing w:val="4"/>
      <w:sz w:val="18"/>
      <w:szCs w:val="18"/>
      <w:lang w:val="en-GB"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1938"/>
    <w:pPr>
      <w:spacing w:after="0" w:line="240" w:lineRule="auto"/>
    </w:pPr>
  </w:style>
  <w:style w:type="table" w:styleId="TableGrid">
    <w:name w:val="Table Grid"/>
    <w:basedOn w:val="TableNormal"/>
    <w:rsid w:val="00171938"/>
    <w:pPr>
      <w:spacing w:after="0" w:line="240" w:lineRule="auto"/>
    </w:pPr>
    <w:rPr>
      <w:rFonts w:ascii="Times New Roman" w:eastAsia="Times New Roman" w:hAnsi="Times New Roman" w:cs="Times New Roman"/>
      <w:sz w:val="20"/>
      <w:szCs w:val="20"/>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1485"/>
    <w:pPr>
      <w:ind w:left="720"/>
      <w:contextualSpacing/>
    </w:pPr>
  </w:style>
  <w:style w:type="character" w:styleId="CommentReference">
    <w:name w:val="annotation reference"/>
    <w:basedOn w:val="DefaultParagraphFont"/>
    <w:uiPriority w:val="99"/>
    <w:semiHidden/>
    <w:unhideWhenUsed/>
    <w:rsid w:val="009F1C61"/>
    <w:rPr>
      <w:sz w:val="16"/>
      <w:szCs w:val="16"/>
    </w:rPr>
  </w:style>
  <w:style w:type="paragraph" w:styleId="CommentText">
    <w:name w:val="annotation text"/>
    <w:basedOn w:val="Normal"/>
    <w:link w:val="CommentTextChar"/>
    <w:uiPriority w:val="99"/>
    <w:semiHidden/>
    <w:unhideWhenUsed/>
    <w:rsid w:val="009F1C61"/>
    <w:pPr>
      <w:spacing w:line="240" w:lineRule="auto"/>
    </w:pPr>
    <w:rPr>
      <w:sz w:val="20"/>
      <w:szCs w:val="20"/>
    </w:rPr>
  </w:style>
  <w:style w:type="character" w:customStyle="1" w:styleId="CommentTextChar">
    <w:name w:val="Comment Text Char"/>
    <w:basedOn w:val="DefaultParagraphFont"/>
    <w:link w:val="CommentText"/>
    <w:uiPriority w:val="99"/>
    <w:semiHidden/>
    <w:rsid w:val="009F1C61"/>
    <w:rPr>
      <w:rFonts w:ascii="Arial" w:eastAsia="Times New Roman" w:hAnsi="Arial" w:cs="Times New Roman"/>
      <w:color w:val="1E1D64"/>
      <w:spacing w:val="4"/>
      <w:sz w:val="20"/>
      <w:szCs w:val="20"/>
      <w:lang w:val="en-GB" w:eastAsia="de-DE"/>
    </w:rPr>
  </w:style>
  <w:style w:type="paragraph" w:styleId="CommentSubject">
    <w:name w:val="annotation subject"/>
    <w:basedOn w:val="CommentText"/>
    <w:next w:val="CommentText"/>
    <w:link w:val="CommentSubjectChar"/>
    <w:uiPriority w:val="99"/>
    <w:semiHidden/>
    <w:unhideWhenUsed/>
    <w:rsid w:val="009F1C61"/>
    <w:rPr>
      <w:b/>
      <w:bCs/>
    </w:rPr>
  </w:style>
  <w:style w:type="character" w:customStyle="1" w:styleId="CommentSubjectChar">
    <w:name w:val="Comment Subject Char"/>
    <w:basedOn w:val="CommentTextChar"/>
    <w:link w:val="CommentSubject"/>
    <w:uiPriority w:val="99"/>
    <w:semiHidden/>
    <w:rsid w:val="009F1C61"/>
    <w:rPr>
      <w:rFonts w:ascii="Arial" w:eastAsia="Times New Roman" w:hAnsi="Arial" w:cs="Times New Roman"/>
      <w:b/>
      <w:bCs/>
      <w:color w:val="1E1D64"/>
      <w:spacing w:val="4"/>
      <w:sz w:val="20"/>
      <w:szCs w:val="20"/>
      <w:lang w:val="en-GB" w:eastAsia="de-DE"/>
    </w:rPr>
  </w:style>
  <w:style w:type="paragraph" w:styleId="Header">
    <w:name w:val="header"/>
    <w:basedOn w:val="Normal"/>
    <w:link w:val="HeaderChar"/>
    <w:uiPriority w:val="99"/>
    <w:unhideWhenUsed/>
    <w:rsid w:val="00D80D33"/>
    <w:pPr>
      <w:tabs>
        <w:tab w:val="center" w:pos="4680"/>
        <w:tab w:val="right" w:pos="9360"/>
      </w:tabs>
      <w:spacing w:line="240" w:lineRule="auto"/>
    </w:pPr>
  </w:style>
  <w:style w:type="character" w:customStyle="1" w:styleId="HeaderChar">
    <w:name w:val="Header Char"/>
    <w:basedOn w:val="DefaultParagraphFont"/>
    <w:link w:val="Header"/>
    <w:uiPriority w:val="99"/>
    <w:rsid w:val="00D80D33"/>
    <w:rPr>
      <w:rFonts w:ascii="Arial" w:eastAsia="Times New Roman" w:hAnsi="Arial" w:cs="Times New Roman"/>
      <w:color w:val="1E1D64"/>
      <w:spacing w:val="4"/>
      <w:sz w:val="18"/>
      <w:szCs w:val="18"/>
      <w:lang w:val="en-GB" w:eastAsia="de-DE"/>
    </w:rPr>
  </w:style>
  <w:style w:type="paragraph" w:styleId="Footer">
    <w:name w:val="footer"/>
    <w:basedOn w:val="Normal"/>
    <w:link w:val="FooterChar"/>
    <w:uiPriority w:val="99"/>
    <w:unhideWhenUsed/>
    <w:rsid w:val="00D80D33"/>
    <w:pPr>
      <w:tabs>
        <w:tab w:val="center" w:pos="4680"/>
        <w:tab w:val="right" w:pos="9360"/>
      </w:tabs>
      <w:spacing w:line="240" w:lineRule="auto"/>
    </w:pPr>
  </w:style>
  <w:style w:type="character" w:customStyle="1" w:styleId="FooterChar">
    <w:name w:val="Footer Char"/>
    <w:basedOn w:val="DefaultParagraphFont"/>
    <w:link w:val="Footer"/>
    <w:uiPriority w:val="99"/>
    <w:rsid w:val="00D80D33"/>
    <w:rPr>
      <w:rFonts w:ascii="Arial" w:eastAsia="Times New Roman" w:hAnsi="Arial" w:cs="Times New Roman"/>
      <w:color w:val="1E1D64"/>
      <w:spacing w:val="4"/>
      <w:sz w:val="18"/>
      <w:szCs w:val="18"/>
      <w:lang w:val="en-GB" w:eastAsia="de-DE"/>
    </w:rPr>
  </w:style>
  <w:style w:type="character" w:customStyle="1" w:styleId="crmarker">
    <w:name w:val="crmarker"/>
    <w:basedOn w:val="DefaultParagraphFont"/>
    <w:rsid w:val="002476ED"/>
  </w:style>
  <w:style w:type="character" w:customStyle="1" w:styleId="crrefontedeleted">
    <w:name w:val="crrefontedeleted"/>
    <w:basedOn w:val="DefaultParagraphFont"/>
    <w:rsid w:val="002476ED"/>
  </w:style>
  <w:style w:type="character" w:customStyle="1" w:styleId="crminorchangedeleted">
    <w:name w:val="crminorchangedeleted"/>
    <w:basedOn w:val="DefaultParagraphFont"/>
    <w:rsid w:val="002476ED"/>
  </w:style>
  <w:style w:type="character" w:styleId="Hyperlink">
    <w:name w:val="Hyperlink"/>
    <w:basedOn w:val="DefaultParagraphFont"/>
    <w:uiPriority w:val="99"/>
    <w:unhideWhenUsed/>
    <w:rsid w:val="006F7679"/>
    <w:rPr>
      <w:color w:val="0563C1" w:themeColor="hyperlink"/>
      <w:u w:val="single"/>
    </w:rPr>
  </w:style>
  <w:style w:type="character" w:styleId="UnresolvedMention">
    <w:name w:val="Unresolved Mention"/>
    <w:basedOn w:val="DefaultParagraphFont"/>
    <w:uiPriority w:val="99"/>
    <w:semiHidden/>
    <w:unhideWhenUsed/>
    <w:rsid w:val="006F76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63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0d8df2-2e0f-4ff9-8cb5-6ff6486d6030" xsi:nil="true"/>
    <lcf76f155ced4ddcb4097134ff3c332f xmlns="52405ce2-b588-46fe-8f0f-81367be4120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F5370260E611429B0C9E1E13B2C101" ma:contentTypeVersion="16" ma:contentTypeDescription="Create a new document." ma:contentTypeScope="" ma:versionID="52530fb65ea235c8a6051c15c5a130bc">
  <xsd:schema xmlns:xsd="http://www.w3.org/2001/XMLSchema" xmlns:xs="http://www.w3.org/2001/XMLSchema" xmlns:p="http://schemas.microsoft.com/office/2006/metadata/properties" xmlns:ns2="52405ce2-b588-46fe-8f0f-81367be41200" xmlns:ns3="050d8df2-2e0f-4ff9-8cb5-6ff6486d6030" targetNamespace="http://schemas.microsoft.com/office/2006/metadata/properties" ma:root="true" ma:fieldsID="a2a5db4d553c6260d006900353749ce3" ns2:_="" ns3:_="">
    <xsd:import namespace="52405ce2-b588-46fe-8f0f-81367be41200"/>
    <xsd:import namespace="050d8df2-2e0f-4ff9-8cb5-6ff6486d60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05ce2-b588-46fe-8f0f-81367be412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c79304-9c98-4fa3-b21a-155e5c51c2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0d8df2-2e0f-4ff9-8cb5-6ff6486d603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cfd9bb-6716-4090-a6f4-10aeeb43ef2f}" ma:internalName="TaxCatchAll" ma:showField="CatchAllData" ma:web="050d8df2-2e0f-4ff9-8cb5-6ff6486d60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F61479-04F9-497B-86DF-0C07E12C4C91}">
  <ds:schemaRefs>
    <ds:schemaRef ds:uri="http://schemas.microsoft.com/office/2006/metadata/properties"/>
    <ds:schemaRef ds:uri="http://schemas.microsoft.com/office/infopath/2007/PartnerControls"/>
    <ds:schemaRef ds:uri="050d8df2-2e0f-4ff9-8cb5-6ff6486d6030"/>
    <ds:schemaRef ds:uri="52405ce2-b588-46fe-8f0f-81367be41200"/>
  </ds:schemaRefs>
</ds:datastoreItem>
</file>

<file path=customXml/itemProps2.xml><?xml version="1.0" encoding="utf-8"?>
<ds:datastoreItem xmlns:ds="http://schemas.openxmlformats.org/officeDocument/2006/customXml" ds:itemID="{2FB5FF35-2219-4267-B6F1-DEEE03EAE809}">
  <ds:schemaRefs>
    <ds:schemaRef ds:uri="http://schemas.microsoft.com/sharepoint/v3/contenttype/forms"/>
  </ds:schemaRefs>
</ds:datastoreItem>
</file>

<file path=customXml/itemProps3.xml><?xml version="1.0" encoding="utf-8"?>
<ds:datastoreItem xmlns:ds="http://schemas.openxmlformats.org/officeDocument/2006/customXml" ds:itemID="{62824523-CF1B-4347-BC3F-1B79866B2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05ce2-b588-46fe-8f0f-81367be41200"/>
    <ds:schemaRef ds:uri="050d8df2-2e0f-4ff9-8cb5-6ff6486d6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1340</TotalTime>
  <Pages>4</Pages>
  <Words>1926</Words>
  <Characters>10982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Henning Eklund</dc:creator>
  <cp:keywords/>
  <dc:description/>
  <cp:lastModifiedBy>Andrea Di Masi</cp:lastModifiedBy>
  <cp:revision>51</cp:revision>
  <dcterms:created xsi:type="dcterms:W3CDTF">2021-12-08T11:50:00Z</dcterms:created>
  <dcterms:modified xsi:type="dcterms:W3CDTF">2022-06-27T16:01:00Z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0x010100F0F5370260E611429B0C9E1E13B2C101</vt:lpwstr>
  </property>
  <property fmtid="{D5CDD505-2E9C-101B-9397-08002B2CF9AE}" pid="3" name="MediaServiceImageTags">
    <vt:lpwstr/>
  </property>
</Properties>
</file>