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60" w:rsidRPr="00DC2FD7" w:rsidRDefault="00662E60" w:rsidP="00662E60">
      <w:pPr>
        <w:jc w:val="both"/>
        <w:rPr>
          <w:b/>
          <w:sz w:val="24"/>
        </w:rPr>
      </w:pPr>
      <w:r>
        <w:rPr>
          <w:b/>
          <w:sz w:val="24"/>
        </w:rPr>
        <w:t>B) Information über Engpasssituationen</w:t>
      </w:r>
    </w:p>
    <w:p w:rsidR="00662E60" w:rsidRDefault="00662E60" w:rsidP="00662E60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662E60" w:rsidRDefault="00662E60" w:rsidP="00662E60">
      <w:pPr>
        <w:jc w:val="both"/>
      </w:pPr>
      <w:r>
        <w:t>Absender (Unternehmen):    ___________________________________________________</w:t>
      </w:r>
    </w:p>
    <w:p w:rsidR="00662E60" w:rsidRDefault="00662E60" w:rsidP="00662E60">
      <w:pPr>
        <w:jc w:val="both"/>
      </w:pPr>
      <w:r>
        <w:t>Empfänger (Unternehmen):  ___________________________________________________</w:t>
      </w:r>
    </w:p>
    <w:p w:rsidR="00662E60" w:rsidRPr="001A54D9" w:rsidRDefault="00662E60" w:rsidP="00662E60">
      <w:pPr>
        <w:tabs>
          <w:tab w:val="left" w:pos="4820"/>
        </w:tabs>
        <w:jc w:val="both"/>
      </w:pPr>
      <w:r>
        <w:rPr>
          <w:b/>
        </w:rPr>
        <w:br/>
      </w:r>
      <w:r w:rsidRPr="001A54D9">
        <w:rPr>
          <w:b/>
          <w:sz w:val="20"/>
        </w:rPr>
        <w:t>Hiermit informieren wir Sie darüber, dass</w:t>
      </w:r>
    </w:p>
    <w:p w:rsidR="00662E60" w:rsidRPr="001A54D9" w:rsidRDefault="00662E60" w:rsidP="00662E60">
      <w:pPr>
        <w:spacing w:after="0"/>
        <w:ind w:left="567" w:hanging="567"/>
        <w:jc w:val="both"/>
        <w:rPr>
          <w:b/>
          <w:sz w:val="20"/>
        </w:rPr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 w:rsidRPr="003304F4">
        <w:rPr>
          <w:b/>
          <w:sz w:val="20"/>
        </w:rPr>
        <w:t>in unserem Netz eine Gefährdung oder Störung der Sicherheit oder Zuverlässigkeit des Gasversorgungssystems droht bzw. vorliegt, die zu Unterbrechungs- oder Kürzung</w:t>
      </w:r>
      <w:r w:rsidRPr="003304F4">
        <w:rPr>
          <w:b/>
          <w:sz w:val="20"/>
        </w:rPr>
        <w:t>s</w:t>
      </w:r>
      <w:r w:rsidRPr="003304F4">
        <w:rPr>
          <w:b/>
          <w:sz w:val="20"/>
        </w:rPr>
        <w:t>maßnahmen gegenüber nachgelagerten Netzbetreibern und/oder Anweisungen zur Ga</w:t>
      </w:r>
      <w:r w:rsidRPr="003304F4">
        <w:rPr>
          <w:b/>
          <w:sz w:val="20"/>
        </w:rPr>
        <w:t>s</w:t>
      </w:r>
      <w:r w:rsidRPr="003304F4">
        <w:rPr>
          <w:b/>
          <w:sz w:val="20"/>
        </w:rPr>
        <w:t xml:space="preserve">einspeisung oder Gasausspeisung an </w:t>
      </w:r>
      <w:proofErr w:type="spellStart"/>
      <w:r w:rsidRPr="003304F4">
        <w:rPr>
          <w:b/>
          <w:sz w:val="20"/>
        </w:rPr>
        <w:t>Anschlusspunkten</w:t>
      </w:r>
      <w:proofErr w:type="spellEnd"/>
      <w:r w:rsidRPr="003304F4">
        <w:rPr>
          <w:b/>
          <w:sz w:val="20"/>
        </w:rPr>
        <w:t xml:space="preserve"> zu Speichern oder Produkt</w:t>
      </w:r>
      <w:r w:rsidRPr="003304F4">
        <w:rPr>
          <w:b/>
          <w:sz w:val="20"/>
        </w:rPr>
        <w:t>i</w:t>
      </w:r>
      <w:r w:rsidRPr="003304F4">
        <w:rPr>
          <w:b/>
          <w:sz w:val="20"/>
        </w:rPr>
        <w:t>onsanlagen</w:t>
      </w:r>
      <w:r w:rsidRPr="003304F4" w:rsidDel="00E8350F">
        <w:rPr>
          <w:b/>
          <w:sz w:val="20"/>
        </w:rPr>
        <w:t xml:space="preserve"> </w:t>
      </w:r>
      <w:r w:rsidRPr="003304F4">
        <w:rPr>
          <w:b/>
          <w:sz w:val="20"/>
        </w:rPr>
        <w:t>gemäß § 16 oder § 16a EnWG führen kann.</w:t>
      </w:r>
    </w:p>
    <w:p w:rsidR="00662E60" w:rsidRDefault="00662E60" w:rsidP="00662E60">
      <w:pPr>
        <w:spacing w:after="0"/>
        <w:ind w:left="567"/>
        <w:jc w:val="both"/>
        <w:rPr>
          <w:b/>
          <w:color w:val="FF0000"/>
          <w:sz w:val="20"/>
        </w:rPr>
      </w:pPr>
      <w:r w:rsidRPr="001A54D9">
        <w:rPr>
          <w:b/>
          <w:color w:val="FF0000"/>
          <w:sz w:val="20"/>
        </w:rPr>
        <w:t xml:space="preserve">Diese Mitteilung ist </w:t>
      </w:r>
      <w:r w:rsidRPr="001A54D9">
        <w:rPr>
          <w:b/>
          <w:color w:val="FF0000"/>
          <w:sz w:val="20"/>
          <w:u w:val="single"/>
        </w:rPr>
        <w:t>keine</w:t>
      </w:r>
      <w:r w:rsidRPr="001A54D9">
        <w:rPr>
          <w:b/>
          <w:color w:val="FF0000"/>
          <w:sz w:val="20"/>
        </w:rPr>
        <w:t xml:space="preserve"> Aufforderung zur Ergrei</w:t>
      </w:r>
      <w:r>
        <w:rPr>
          <w:b/>
          <w:color w:val="FF0000"/>
          <w:sz w:val="20"/>
        </w:rPr>
        <w:t xml:space="preserve">fung von Maßnahmen gem. § 16 </w:t>
      </w:r>
      <w:proofErr w:type="spellStart"/>
      <w:r>
        <w:rPr>
          <w:b/>
          <w:color w:val="FF0000"/>
          <w:sz w:val="20"/>
        </w:rPr>
        <w:t>i.V.</w:t>
      </w:r>
      <w:r w:rsidRPr="001A54D9">
        <w:rPr>
          <w:b/>
          <w:color w:val="FF0000"/>
          <w:sz w:val="20"/>
        </w:rPr>
        <w:t>m</w:t>
      </w:r>
      <w:proofErr w:type="spellEnd"/>
      <w:r w:rsidRPr="001A54D9">
        <w:rPr>
          <w:b/>
          <w:color w:val="FF0000"/>
          <w:sz w:val="20"/>
        </w:rPr>
        <w:t>. § 16a EnWG.</w:t>
      </w:r>
    </w:p>
    <w:p w:rsidR="00662E60" w:rsidRPr="001A54D9" w:rsidRDefault="00662E60" w:rsidP="00662E60">
      <w:pPr>
        <w:spacing w:after="0"/>
        <w:ind w:left="567"/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Nachgelagerte Netzbetreiber werden hiermit dazu aufgefordert, das aktuelle </w:t>
      </w:r>
      <w:proofErr w:type="spellStart"/>
      <w:r>
        <w:rPr>
          <w:b/>
          <w:color w:val="FF0000"/>
          <w:sz w:val="20"/>
        </w:rPr>
        <w:t>Abschaltp</w:t>
      </w:r>
      <w:r>
        <w:rPr>
          <w:b/>
          <w:color w:val="FF0000"/>
          <w:sz w:val="20"/>
        </w:rPr>
        <w:t>o</w:t>
      </w:r>
      <w:r>
        <w:rPr>
          <w:b/>
          <w:color w:val="FF0000"/>
          <w:sz w:val="20"/>
        </w:rPr>
        <w:t>tenzial</w:t>
      </w:r>
      <w:proofErr w:type="spellEnd"/>
      <w:r>
        <w:rPr>
          <w:b/>
          <w:color w:val="FF0000"/>
          <w:sz w:val="20"/>
        </w:rPr>
        <w:t xml:space="preserve"> über das Formular C an den vorgelagerten Netzbetreiber zu melden.</w:t>
      </w:r>
    </w:p>
    <w:p w:rsidR="00662E60" w:rsidRDefault="00662E60" w:rsidP="00662E60">
      <w:pPr>
        <w:spacing w:after="0"/>
        <w:ind w:left="567" w:hanging="567"/>
        <w:jc w:val="both"/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 w:rsidRPr="003304F4">
        <w:rPr>
          <w:b/>
          <w:sz w:val="20"/>
        </w:rPr>
        <w:t>wir die von uns übermittelte Ankündigung von Maßnahmen aufheben, da eine Gefäh</w:t>
      </w:r>
      <w:r w:rsidRPr="003304F4">
        <w:rPr>
          <w:b/>
          <w:sz w:val="20"/>
        </w:rPr>
        <w:t>r</w:t>
      </w:r>
      <w:r w:rsidRPr="003304F4">
        <w:rPr>
          <w:b/>
          <w:sz w:val="20"/>
        </w:rPr>
        <w:t>dung oder Störung der Sicherheit oder Zuverlässigkeit des Gasversorgungssystems nicht mehr vorliegt.</w:t>
      </w:r>
    </w:p>
    <w:p w:rsidR="00662E60" w:rsidRDefault="00662E60" w:rsidP="00662E60">
      <w:pPr>
        <w:spacing w:after="0"/>
        <w:ind w:left="567" w:hanging="567"/>
        <w:jc w:val="both"/>
        <w:rPr>
          <w:b/>
        </w:rPr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 w:rsidRPr="003304F4">
        <w:rPr>
          <w:b/>
          <w:sz w:val="20"/>
        </w:rPr>
        <w:t>Maßnahmen gemäß § 16 Abs. 2 EnWG</w:t>
      </w:r>
      <w:r w:rsidRPr="003304F4">
        <w:rPr>
          <w:b/>
          <w:sz w:val="20"/>
          <w:vertAlign w:val="superscript"/>
        </w:rPr>
        <w:t>*</w:t>
      </w:r>
      <w:r w:rsidRPr="003304F4">
        <w:rPr>
          <w:b/>
          <w:sz w:val="20"/>
        </w:rPr>
        <w:t xml:space="preserve"> in unserem Netz zur Beseitigung einer Gefäh</w:t>
      </w:r>
      <w:r w:rsidRPr="003304F4">
        <w:rPr>
          <w:b/>
          <w:sz w:val="20"/>
        </w:rPr>
        <w:t>r</w:t>
      </w:r>
      <w:r w:rsidRPr="003304F4">
        <w:rPr>
          <w:b/>
          <w:sz w:val="20"/>
        </w:rPr>
        <w:t>dung oder Störung der Sicherheit oder Zuverlässigkeit des Gasversorgungssystems</w:t>
      </w:r>
    </w:p>
    <w:p w:rsidR="00662E60" w:rsidRPr="001A54D9" w:rsidRDefault="00662E60" w:rsidP="00662E60">
      <w:pPr>
        <w:spacing w:after="0" w:line="240" w:lineRule="auto"/>
        <w:ind w:left="2694" w:hanging="851"/>
        <w:contextualSpacing/>
        <w:jc w:val="both"/>
        <w:rPr>
          <w:sz w:val="20"/>
        </w:rPr>
      </w:pPr>
      <w:r w:rsidRPr="00A57DDA">
        <w:rPr>
          <w:rFonts w:cs="Arial"/>
          <w:sz w:val="40"/>
        </w:rPr>
        <w:t>□</w:t>
      </w:r>
      <w:r w:rsidRPr="00513A84">
        <w:rPr>
          <w:rFonts w:cs="Arial"/>
          <w:sz w:val="44"/>
        </w:rPr>
        <w:tab/>
      </w:r>
      <w:r>
        <w:rPr>
          <w:sz w:val="20"/>
        </w:rPr>
        <w:t>ergriffen werden.</w:t>
      </w:r>
    </w:p>
    <w:p w:rsidR="00662E60" w:rsidRPr="001A54D9" w:rsidRDefault="00662E60" w:rsidP="00662E60">
      <w:pPr>
        <w:spacing w:after="0" w:line="240" w:lineRule="auto"/>
        <w:ind w:left="2694" w:hanging="851"/>
        <w:contextualSpacing/>
        <w:jc w:val="both"/>
        <w:rPr>
          <w:sz w:val="20"/>
        </w:rPr>
      </w:pPr>
      <w:r w:rsidRPr="001A54D9">
        <w:rPr>
          <w:rFonts w:cs="Arial"/>
          <w:sz w:val="40"/>
        </w:rPr>
        <w:t>□</w:t>
      </w:r>
      <w:r w:rsidRPr="001A54D9">
        <w:rPr>
          <w:rFonts w:cs="Arial"/>
          <w:sz w:val="40"/>
        </w:rPr>
        <w:tab/>
      </w:r>
      <w:r w:rsidRPr="001A54D9">
        <w:rPr>
          <w:sz w:val="20"/>
        </w:rPr>
        <w:t>derzeit umgesetzt wer</w:t>
      </w:r>
      <w:r>
        <w:rPr>
          <w:sz w:val="20"/>
        </w:rPr>
        <w:t>den und eine Ausschöpfung droht.</w:t>
      </w:r>
    </w:p>
    <w:p w:rsidR="00662E60" w:rsidRPr="001A54D9" w:rsidRDefault="00662E60" w:rsidP="00662E60">
      <w:pPr>
        <w:spacing w:after="0" w:line="240" w:lineRule="auto"/>
        <w:ind w:left="2694" w:hanging="851"/>
        <w:contextualSpacing/>
        <w:jc w:val="both"/>
        <w:rPr>
          <w:sz w:val="20"/>
        </w:rPr>
      </w:pPr>
      <w:r w:rsidRPr="001A54D9">
        <w:rPr>
          <w:rFonts w:cs="Arial"/>
          <w:sz w:val="40"/>
        </w:rPr>
        <w:t>□</w:t>
      </w:r>
      <w:r w:rsidRPr="001A54D9">
        <w:rPr>
          <w:rFonts w:cs="Arial"/>
          <w:sz w:val="40"/>
        </w:rPr>
        <w:tab/>
      </w:r>
      <w:r w:rsidRPr="001A54D9">
        <w:rPr>
          <w:sz w:val="20"/>
        </w:rPr>
        <w:t>ausgeschöpft sind.</w:t>
      </w:r>
    </w:p>
    <w:p w:rsidR="00662E60" w:rsidRPr="001A54D9" w:rsidRDefault="00662E60" w:rsidP="00662E60">
      <w:pPr>
        <w:spacing w:after="0" w:line="240" w:lineRule="auto"/>
        <w:ind w:left="2694" w:hanging="851"/>
        <w:contextualSpacing/>
        <w:jc w:val="both"/>
        <w:rPr>
          <w:b/>
          <w:color w:val="FF0000"/>
          <w:sz w:val="20"/>
        </w:rPr>
      </w:pPr>
      <w:r w:rsidRPr="001A54D9">
        <w:rPr>
          <w:rFonts w:cs="Arial"/>
          <w:sz w:val="40"/>
        </w:rPr>
        <w:t>□</w:t>
      </w:r>
      <w:r w:rsidRPr="001A54D9">
        <w:rPr>
          <w:rFonts w:cs="Arial"/>
          <w:sz w:val="40"/>
        </w:rPr>
        <w:tab/>
      </w:r>
      <w:r w:rsidRPr="001A54D9">
        <w:rPr>
          <w:sz w:val="20"/>
        </w:rPr>
        <w:t>nicht mehr angewendet werden.</w:t>
      </w:r>
    </w:p>
    <w:p w:rsidR="00662E60" w:rsidRDefault="00662E60" w:rsidP="00662E60">
      <w:pPr>
        <w:spacing w:after="0" w:line="276" w:lineRule="auto"/>
        <w:ind w:firstLine="709"/>
        <w:jc w:val="both"/>
        <w:rPr>
          <w:sz w:val="20"/>
          <w:szCs w:val="20"/>
        </w:rPr>
      </w:pPr>
    </w:p>
    <w:p w:rsidR="00662E60" w:rsidRPr="00C47B94" w:rsidRDefault="00662E60" w:rsidP="00662E60">
      <w:pPr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Beginn: __________</w:t>
      </w:r>
      <w:r w:rsidRPr="00C47B94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C47B94">
        <w:rPr>
          <w:sz w:val="20"/>
          <w:szCs w:val="20"/>
        </w:rPr>
        <w:t>________________________________________</w:t>
      </w:r>
    </w:p>
    <w:p w:rsidR="00662E60" w:rsidRPr="003304F4" w:rsidRDefault="00662E60" w:rsidP="00662E60">
      <w:pPr>
        <w:spacing w:line="276" w:lineRule="auto"/>
        <w:ind w:left="709"/>
        <w:jc w:val="both"/>
        <w:rPr>
          <w:sz w:val="21"/>
          <w:szCs w:val="21"/>
        </w:rPr>
      </w:pPr>
      <w:r w:rsidRPr="003304F4">
        <w:rPr>
          <w:i/>
          <w:sz w:val="20"/>
          <w:vertAlign w:val="superscript"/>
        </w:rPr>
        <w:t>*</w:t>
      </w:r>
      <w:r w:rsidRPr="003304F4">
        <w:rPr>
          <w:i/>
          <w:sz w:val="20"/>
        </w:rPr>
        <w:t>ohne eine Kürzung geschützter Kunden und angewiesener systemrelevanter Gaskraftwerke sowie der ggf. darüber hinausgehenden prognostizierten Leistung, die für die Aufrechterha</w:t>
      </w:r>
      <w:r w:rsidRPr="003304F4">
        <w:rPr>
          <w:i/>
          <w:sz w:val="20"/>
        </w:rPr>
        <w:t>l</w:t>
      </w:r>
      <w:r w:rsidRPr="003304F4">
        <w:rPr>
          <w:i/>
          <w:sz w:val="20"/>
        </w:rPr>
        <w:t>tung der Systemstabilität der Verteilernetze unter Beachtung der Druckverhältnisse erforde</w:t>
      </w:r>
      <w:r w:rsidRPr="003304F4">
        <w:rPr>
          <w:i/>
          <w:sz w:val="20"/>
        </w:rPr>
        <w:t>r</w:t>
      </w:r>
      <w:r w:rsidRPr="003304F4">
        <w:rPr>
          <w:i/>
          <w:sz w:val="20"/>
        </w:rPr>
        <w:t>lich ist, um die geschützten Letztverbraucher und ggf. angewiesenen systemrelevanten Ga</w:t>
      </w:r>
      <w:r w:rsidRPr="003304F4">
        <w:rPr>
          <w:i/>
          <w:sz w:val="20"/>
        </w:rPr>
        <w:t>s</w:t>
      </w:r>
      <w:r w:rsidRPr="003304F4">
        <w:rPr>
          <w:i/>
          <w:sz w:val="20"/>
        </w:rPr>
        <w:t>kraf</w:t>
      </w:r>
      <w:r w:rsidRPr="003304F4">
        <w:rPr>
          <w:i/>
          <w:sz w:val="20"/>
        </w:rPr>
        <w:t>t</w:t>
      </w:r>
      <w:r w:rsidRPr="003304F4">
        <w:rPr>
          <w:i/>
          <w:sz w:val="20"/>
        </w:rPr>
        <w:t>werke noch versorgen zu können</w:t>
      </w:r>
    </w:p>
    <w:p w:rsidR="00662E60" w:rsidRDefault="00662E60" w:rsidP="00662E60">
      <w:pPr>
        <w:spacing w:line="276" w:lineRule="auto"/>
        <w:jc w:val="both"/>
        <w:rPr>
          <w:b/>
          <w:sz w:val="21"/>
          <w:szCs w:val="21"/>
        </w:rPr>
      </w:pPr>
    </w:p>
    <w:p w:rsidR="00662E60" w:rsidRDefault="00662E60" w:rsidP="00662E60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Empfangsbestätigung: </w:t>
      </w:r>
    </w:p>
    <w:p w:rsidR="00662E60" w:rsidRDefault="00662E60" w:rsidP="00662E6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Ankündigung am __________________________, </w:t>
      </w:r>
    </w:p>
    <w:p w:rsidR="00BD1227" w:rsidRPr="00662E60" w:rsidRDefault="00662E60" w:rsidP="00662E60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662E60" w:rsidSect="00BD12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11569F"/>
    <w:rsid w:val="00195F39"/>
    <w:rsid w:val="002740B7"/>
    <w:rsid w:val="005B35C6"/>
    <w:rsid w:val="00662E60"/>
    <w:rsid w:val="00676DD1"/>
    <w:rsid w:val="008A7BFF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1778</Characters>
  <Application>Microsoft Office Word</Application>
  <DocSecurity>0</DocSecurity>
  <Lines>14</Lines>
  <Paragraphs>4</Paragraphs>
  <ScaleCrop>false</ScaleCrop>
  <Company>BDEW Bundesverband der Energie- und Wasserwirtschaft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2016-06-30T09:18:00Z</dcterms:created>
  <dcterms:modified xsi:type="dcterms:W3CDTF">2016-06-30T09:18:00Z</dcterms:modified>
</cp:coreProperties>
</file>